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7D27B6">
        <w:tc>
          <w:tcPr>
            <w:tcW w:w="1644" w:type="pct"/>
            <w:vMerge w:val="restart"/>
          </w:tcPr>
          <w:p w:rsidR="001D6C68" w:rsidRPr="0081307E" w:rsidRDefault="001D6C68" w:rsidP="007D27B6">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7D27B6">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7D27B6">
        <w:tc>
          <w:tcPr>
            <w:tcW w:w="1644" w:type="pct"/>
            <w:vMerge/>
          </w:tcPr>
          <w:p w:rsidR="001D6C68" w:rsidRPr="0081307E" w:rsidRDefault="001D6C68" w:rsidP="007D27B6">
            <w:pPr>
              <w:rPr>
                <w:rFonts w:ascii="Times New Roman" w:hAnsi="Times New Roman" w:cs="Times New Roman"/>
              </w:rPr>
            </w:pPr>
          </w:p>
        </w:tc>
        <w:tc>
          <w:tcPr>
            <w:tcW w:w="1754" w:type="pct"/>
          </w:tcPr>
          <w:p w:rsidR="001D6C68"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7D27B6">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7D27B6">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7D27B6">
            <w:pPr>
              <w:jc w:val="right"/>
              <w:rPr>
                <w:rFonts w:ascii="Times New Roman" w:hAnsi="Times New Roman" w:cs="Times New Roman"/>
                <w:sz w:val="28"/>
                <w:szCs w:val="28"/>
              </w:rPr>
            </w:pPr>
          </w:p>
        </w:tc>
        <w:tc>
          <w:tcPr>
            <w:tcW w:w="1602" w:type="pct"/>
          </w:tcPr>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7D27B6">
            <w:pPr>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7D27B6">
            <w:pPr>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501DFF" w:rsidP="007D27B6">
            <w:pPr>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942F01">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47680E">
        <w:rPr>
          <w:rFonts w:ascii="Times New Roman" w:hAnsi="Times New Roman" w:cs="Times New Roman"/>
          <w:b/>
          <w:sz w:val="52"/>
          <w:szCs w:val="52"/>
        </w:rPr>
        <w:t>8</w:t>
      </w:r>
      <w:r w:rsidRPr="00D95F4C">
        <w:rPr>
          <w:rFonts w:ascii="Times New Roman" w:hAnsi="Times New Roman" w:cs="Times New Roman"/>
          <w:b/>
          <w:sz w:val="52"/>
          <w:szCs w:val="52"/>
        </w:rPr>
        <w:br/>
        <w:t xml:space="preserve">за период </w:t>
      </w:r>
      <w:r w:rsidR="0047680E">
        <w:rPr>
          <w:rFonts w:ascii="Times New Roman" w:hAnsi="Times New Roman" w:cs="Times New Roman"/>
          <w:b/>
          <w:sz w:val="52"/>
          <w:szCs w:val="52"/>
        </w:rPr>
        <w:t>03 – 06 октября</w:t>
      </w:r>
      <w:r w:rsidRPr="00D95F4C">
        <w:rPr>
          <w:rFonts w:ascii="Times New Roman" w:hAnsi="Times New Roman" w:cs="Times New Roman"/>
          <w:b/>
          <w:sz w:val="52"/>
          <w:szCs w:val="52"/>
        </w:rPr>
        <w:t xml:space="preserve"> 2016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2016</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794281"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Pr="00134392">
        <w:rPr>
          <w:rFonts w:ascii="Times New Roman" w:eastAsia="Times New Roman" w:hAnsi="Times New Roman" w:cs="Times New Roman"/>
          <w:sz w:val="28"/>
          <w:szCs w:val="28"/>
        </w:rPr>
        <w:tab/>
      </w:r>
      <w:r w:rsidR="00812EE0">
        <w:rPr>
          <w:rFonts w:ascii="Times New Roman" w:eastAsia="Times New Roman" w:hAnsi="Times New Roman" w:cs="Times New Roman"/>
          <w:sz w:val="28"/>
          <w:szCs w:val="28"/>
        </w:rPr>
        <w:t>3</w:t>
      </w:r>
    </w:p>
    <w:p w:rsidR="00794281" w:rsidRPr="00134392" w:rsidRDefault="00794281"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Pr="00134392">
        <w:rPr>
          <w:rFonts w:ascii="Times New Roman" w:eastAsia="Times New Roman" w:hAnsi="Times New Roman" w:cs="Times New Roman"/>
          <w:sz w:val="28"/>
          <w:szCs w:val="28"/>
        </w:rPr>
        <w:tab/>
      </w:r>
      <w:r w:rsidR="00812EE0">
        <w:rPr>
          <w:rFonts w:ascii="Times New Roman" w:eastAsia="Times New Roman" w:hAnsi="Times New Roman" w:cs="Times New Roman"/>
          <w:sz w:val="28"/>
          <w:szCs w:val="28"/>
        </w:rPr>
        <w:t>4</w:t>
      </w:r>
    </w:p>
    <w:p w:rsidR="00794281" w:rsidRPr="00134392" w:rsidRDefault="00812EE0"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Нефтегазовая и нефтехимическая промышленность</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5</w:t>
      </w:r>
    </w:p>
    <w:p w:rsidR="00794281" w:rsidRPr="00134392" w:rsidRDefault="00794281"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812EE0">
        <w:rPr>
          <w:rFonts w:ascii="Times New Roman" w:eastAsia="Times New Roman" w:hAnsi="Times New Roman" w:cs="Times New Roman"/>
          <w:sz w:val="28"/>
          <w:szCs w:val="28"/>
        </w:rPr>
        <w:t>5</w:t>
      </w:r>
    </w:p>
    <w:p w:rsidR="00794281" w:rsidRPr="00134392" w:rsidRDefault="00794281"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Транспортное машиностроение</w:t>
      </w:r>
      <w:r w:rsidRPr="00134392">
        <w:rPr>
          <w:rFonts w:ascii="Times New Roman" w:eastAsia="Times New Roman" w:hAnsi="Times New Roman" w:cs="Times New Roman"/>
          <w:sz w:val="28"/>
          <w:szCs w:val="28"/>
        </w:rPr>
        <w:tab/>
      </w:r>
      <w:r w:rsidR="00EC05C9">
        <w:rPr>
          <w:rFonts w:ascii="Times New Roman" w:eastAsia="Times New Roman" w:hAnsi="Times New Roman" w:cs="Times New Roman"/>
          <w:sz w:val="28"/>
          <w:szCs w:val="28"/>
        </w:rPr>
        <w:t>6</w:t>
      </w:r>
    </w:p>
    <w:p w:rsidR="00794281" w:rsidRPr="00134392" w:rsidRDefault="00794281"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812EE0">
        <w:rPr>
          <w:rFonts w:ascii="Times New Roman" w:eastAsia="Times New Roman" w:hAnsi="Times New Roman" w:cs="Times New Roman"/>
          <w:sz w:val="28"/>
          <w:szCs w:val="28"/>
        </w:rPr>
        <w:t>8</w:t>
      </w:r>
    </w:p>
    <w:p w:rsidR="00812EE0" w:rsidRPr="00134392" w:rsidRDefault="00812EE0" w:rsidP="00812EE0">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Pr="00134392">
        <w:rPr>
          <w:rFonts w:ascii="Times New Roman" w:eastAsia="Times New Roman" w:hAnsi="Times New Roman" w:cs="Times New Roman"/>
          <w:sz w:val="28"/>
          <w:szCs w:val="28"/>
        </w:rPr>
        <w:tab/>
      </w:r>
      <w:r w:rsidR="00EC05C9">
        <w:rPr>
          <w:rFonts w:ascii="Times New Roman" w:eastAsia="Times New Roman" w:hAnsi="Times New Roman" w:cs="Times New Roman"/>
          <w:sz w:val="28"/>
          <w:szCs w:val="28"/>
        </w:rPr>
        <w:t>9</w:t>
      </w:r>
    </w:p>
    <w:p w:rsidR="00794281" w:rsidRPr="00134392" w:rsidRDefault="00794281" w:rsidP="00942F0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Выставки. Конференции. Форумы</w:t>
      </w:r>
      <w:r w:rsidRPr="00134392">
        <w:rPr>
          <w:rFonts w:ascii="Times New Roman" w:eastAsia="Times New Roman" w:hAnsi="Times New Roman" w:cs="Times New Roman"/>
          <w:sz w:val="28"/>
          <w:szCs w:val="28"/>
        </w:rPr>
        <w:tab/>
      </w:r>
      <w:r w:rsidR="00EC05C9">
        <w:rPr>
          <w:rFonts w:ascii="Times New Roman" w:eastAsia="Times New Roman" w:hAnsi="Times New Roman" w:cs="Times New Roman"/>
          <w:sz w:val="28"/>
          <w:szCs w:val="28"/>
        </w:rPr>
        <w:t>17</w:t>
      </w:r>
    </w:p>
    <w:p w:rsidR="001D6C68" w:rsidRDefault="001D6C68" w:rsidP="00A11EF9">
      <w:pPr>
        <w:rPr>
          <w:sz w:val="28"/>
        </w:rPr>
      </w:pPr>
    </w:p>
    <w:p w:rsidR="005C5A81" w:rsidRDefault="005C5A81"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12EE0" w:rsidRDefault="00812EE0" w:rsidP="00A11EF9">
      <w:pPr>
        <w:rPr>
          <w:sz w:val="28"/>
        </w:rPr>
      </w:pPr>
    </w:p>
    <w:p w:rsidR="00812EE0" w:rsidRDefault="00812EE0" w:rsidP="00A11EF9">
      <w:pPr>
        <w:rPr>
          <w:sz w:val="28"/>
        </w:rPr>
      </w:pPr>
    </w:p>
    <w:p w:rsidR="00812EE0" w:rsidRDefault="00812EE0" w:rsidP="00A11EF9">
      <w:pPr>
        <w:rPr>
          <w:sz w:val="28"/>
        </w:rPr>
      </w:pPr>
    </w:p>
    <w:p w:rsidR="00812EE0" w:rsidRDefault="00812EE0" w:rsidP="00A11EF9">
      <w:pPr>
        <w:rPr>
          <w:sz w:val="28"/>
        </w:rPr>
      </w:pPr>
    </w:p>
    <w:p w:rsidR="00812EE0" w:rsidRDefault="00812EE0" w:rsidP="00A11EF9">
      <w:pPr>
        <w:rPr>
          <w:sz w:val="28"/>
        </w:rPr>
      </w:pPr>
    </w:p>
    <w:p w:rsidR="00812EE0" w:rsidRDefault="00812EE0" w:rsidP="00A11EF9">
      <w:pPr>
        <w:rPr>
          <w:sz w:val="28"/>
        </w:rPr>
      </w:pPr>
    </w:p>
    <w:p w:rsidR="00836969" w:rsidRDefault="00836969"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5C5A81" w:rsidRDefault="005C5A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47680E" w:rsidRDefault="00A72730" w:rsidP="00E463D3">
      <w:pPr>
        <w:spacing w:line="240" w:lineRule="auto"/>
        <w:jc w:val="both"/>
        <w:rPr>
          <w:rFonts w:ascii="Times New Roman" w:eastAsia="Times New Roman" w:hAnsi="Times New Roman" w:cs="Times New Roman"/>
          <w:sz w:val="24"/>
          <w:szCs w:val="24"/>
        </w:rPr>
      </w:pPr>
      <w:r>
        <w:rPr>
          <w:sz w:val="28"/>
        </w:rPr>
        <w:br w:type="page"/>
      </w:r>
      <w:r w:rsidR="0047680E">
        <w:rPr>
          <w:rFonts w:ascii="Times New Roman" w:eastAsia="Times New Roman" w:hAnsi="Times New Roman" w:cs="Times New Roman"/>
          <w:b/>
          <w:sz w:val="24"/>
          <w:szCs w:val="24"/>
        </w:rPr>
        <w:lastRenderedPageBreak/>
        <w:t>ЛИТЕЙНОЕ</w:t>
      </w:r>
      <w:r w:rsidR="00AC03CA">
        <w:rPr>
          <w:rFonts w:ascii="Times New Roman" w:eastAsia="Times New Roman" w:hAnsi="Times New Roman" w:cs="Times New Roman"/>
          <w:b/>
          <w:sz w:val="24"/>
          <w:szCs w:val="24"/>
        </w:rPr>
        <w:t xml:space="preserve"> </w:t>
      </w:r>
      <w:r w:rsidR="0047680E">
        <w:rPr>
          <w:rFonts w:ascii="Times New Roman" w:eastAsia="Times New Roman" w:hAnsi="Times New Roman" w:cs="Times New Roman"/>
          <w:b/>
          <w:sz w:val="24"/>
          <w:szCs w:val="24"/>
        </w:rPr>
        <w:t>ПРОИЗВОДСТВО</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669.24:541.12.017</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технологических режимов литья на параметры структуры монокристаллов новых жаропрочных сплавов</w:t>
      </w:r>
      <w:r>
        <w:rPr>
          <w:rFonts w:ascii="Times New Roman" w:eastAsia="Times New Roman" w:hAnsi="Times New Roman" w:cs="Times New Roman"/>
          <w:sz w:val="24"/>
          <w:szCs w:val="24"/>
        </w:rPr>
        <w:t xml:space="preserve"> / Е. М. Васик [и др.]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27-31: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3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влияние температурно-скоростных параметров литья и формы фронта при направленной кристаллизации на морфологию дендритной структуры сплава, параметры микроструктуры нового малоплотного жаропрочного никелевого сплава и склонность к образованию дефектов монокристаллической структуры отливок.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w:t>
      </w:r>
      <w:r>
        <w:t xml:space="preserve"> </w:t>
      </w:r>
      <w:r>
        <w:rPr>
          <w:rFonts w:ascii="Times New Roman" w:eastAsia="Times New Roman" w:hAnsi="Times New Roman" w:cs="Times New Roman"/>
          <w:sz w:val="24"/>
          <w:szCs w:val="24"/>
        </w:rPr>
        <w:t>620.181:621.77:669.71</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Длинномерные деформированные полуфабрикаты из сплавов системы Al-Zr, полученные разными методами совмещенной обработки </w:t>
      </w:r>
      <w:r>
        <w:rPr>
          <w:rFonts w:ascii="Times New Roman" w:eastAsia="Times New Roman" w:hAnsi="Times New Roman" w:cs="Times New Roman"/>
          <w:sz w:val="24"/>
          <w:szCs w:val="24"/>
        </w:rPr>
        <w:t>/ С. Б. Сидельников [и др.]</w:t>
      </w:r>
      <w:r w:rsidR="00965734">
        <w:rPr>
          <w:rFonts w:ascii="Times New Roman" w:eastAsia="Times New Roman" w:hAnsi="Times New Roman" w:cs="Times New Roman"/>
          <w:sz w:val="24"/>
          <w:szCs w:val="24"/>
        </w:rPr>
        <w:t xml:space="preserve">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С. 39-42: ил. </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Сравнены свойства деформированных полуфабрикатов из Al-Zr сплавов, полученных разными способами современной обработки и интенсивной пластической деформацией (ИПД). Показано, что сочетание методов современной обработки и ИПД дают дополнительное повышение прочности.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tabs>
          <w:tab w:val="left" w:pos="737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Марукович, Е.И.</w:t>
      </w:r>
      <w:r w:rsidR="00965734">
        <w:rPr>
          <w:rFonts w:ascii="Times New Roman" w:eastAsia="Times New Roman" w:hAnsi="Times New Roman" w:cs="Times New Roman"/>
          <w:b/>
          <w:bCs/>
          <w:i/>
          <w:sz w:val="24"/>
          <w:szCs w:val="24"/>
        </w:rPr>
        <w:t xml:space="preserve"> </w:t>
      </w:r>
      <w:r w:rsidR="00965734">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w:t>
      </w:r>
      <w:r>
        <w:t xml:space="preserve"> </w:t>
      </w:r>
      <w:r>
        <w:rPr>
          <w:rFonts w:ascii="Times New Roman" w:eastAsia="Times New Roman" w:hAnsi="Times New Roman" w:cs="Times New Roman"/>
          <w:sz w:val="24"/>
          <w:szCs w:val="24"/>
        </w:rPr>
        <w:t>621.74.02:669.715</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Непрерывное горизонтальное литье и свойства антифрикционного силумина</w:t>
      </w:r>
      <w:r>
        <w:rPr>
          <w:rFonts w:ascii="Times New Roman" w:eastAsia="Times New Roman" w:hAnsi="Times New Roman" w:cs="Times New Roman"/>
          <w:sz w:val="24"/>
          <w:szCs w:val="24"/>
        </w:rPr>
        <w:t xml:space="preserve">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Е. И. Марукович, В. Ю. Стеценко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С. 32-34: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струйной системы охлаждения разработана высокопроизводительная и экологически безопасная технология непрерывного горизонтального литья эвтектического силумина с высокодисперсной и инвертированной микроструктурой. Слитки диаметром 40...100 мм состояли из инвертированной эвтектики с дисперсностью глобулярных кристаллов кремния 0,5...2 мкм. После термообработки по режиму Т5 опытные заготовки по фрикционной износостойкости превосходили аналогичные из бронз Sn5Zn5Pb5 и Al9F4. </w:t>
      </w:r>
    </w:p>
    <w:p w:rsidR="0047680E" w:rsidRDefault="0047680E" w:rsidP="00E463D3">
      <w:pPr>
        <w:spacing w:line="240" w:lineRule="auto"/>
        <w:ind w:left="720"/>
        <w:jc w:val="both"/>
        <w:rPr>
          <w:rFonts w:ascii="Times New Roman" w:eastAsia="Times New Roman" w:hAnsi="Times New Roman" w:cs="Times New Roman"/>
          <w:b/>
          <w:bCs/>
          <w:sz w:val="24"/>
          <w:szCs w:val="24"/>
        </w:rPr>
      </w:pPr>
    </w:p>
    <w:p w:rsidR="0047680E" w:rsidRDefault="0047680E" w:rsidP="00E463D3">
      <w:pPr>
        <w:tabs>
          <w:tab w:val="left" w:pos="7371"/>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Никитин, В.И.</w:t>
      </w:r>
      <w:r w:rsidR="00965734">
        <w:rPr>
          <w:rFonts w:ascii="Times New Roman" w:eastAsia="Times New Roman" w:hAnsi="Times New Roman" w:cs="Times New Roman"/>
          <w:b/>
          <w:bCs/>
          <w:i/>
          <w:sz w:val="24"/>
          <w:szCs w:val="24"/>
        </w:rPr>
        <w:t xml:space="preserve"> </w:t>
      </w:r>
      <w:r w:rsidR="00965734">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w:t>
      </w:r>
      <w:r>
        <w:t xml:space="preserve"> </w:t>
      </w:r>
      <w:r>
        <w:rPr>
          <w:rFonts w:ascii="Times New Roman" w:eastAsia="Times New Roman" w:hAnsi="Times New Roman" w:cs="Times New Roman"/>
          <w:bCs/>
          <w:sz w:val="24"/>
          <w:szCs w:val="24"/>
        </w:rPr>
        <w:t>621.745.55:669.71</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Генное модифицирование алюминиевых литейных и деформируемых сплавов</w:t>
      </w:r>
      <w:r>
        <w:rPr>
          <w:rFonts w:ascii="Times New Roman" w:eastAsia="Times New Roman" w:hAnsi="Times New Roman" w:cs="Times New Roman"/>
          <w:sz w:val="24"/>
          <w:szCs w:val="24"/>
        </w:rPr>
        <w:t xml:space="preserve">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В. И. Никитин, К. В. Никитин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10-14: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6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анализа проблемы модифицирования алюминиевых сплавов на основе использования явления структурной наследственности и новые результаты исследования влияния микрокристаллических модификаторов на свойства силуминов и магналия. Показана высокая эффективность генного модифицирования алюминиевых сплавов.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621.74.002.6:669.24/29</w:t>
      </w:r>
    </w:p>
    <w:p w:rsidR="0047680E" w:rsidRDefault="0047680E" w:rsidP="00E463D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Образование жидкой фазы внутри цилиндрической заготовки из Ti-сплава в электромагнитном поле</w:t>
      </w:r>
      <w:r>
        <w:rPr>
          <w:rFonts w:ascii="Times New Roman" w:eastAsia="Times New Roman" w:hAnsi="Times New Roman" w:cs="Times New Roman"/>
          <w:sz w:val="24"/>
          <w:szCs w:val="24"/>
        </w:rPr>
        <w:t xml:space="preserve"> / В. Б. Демидович [и др.]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7-9.</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в примеч.</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Путем сопряжения ANSYS и Fluent разработана численная модель процесса плавления цилиндрической заготовки в переменном электромагнитном поле (ЭМ). Расчет процесса плавления осуществлен методом "энтальпия-пористость" с применением модели турбулентных течений k-w SST в нестационарной постановке. ЭМ-источники движения и теплоты определяли решением методом конечных элементов гармонической задачи на векторный магнитный потенциал в системе индуктор-заготовка на каждый итерации гидродинамической задачи. На основе построенной модели выполнен расчет и проведен анализ протекания физических процессов при бестигельном плавлении Ti-сплава ВТ6. </w:t>
      </w:r>
    </w:p>
    <w:p w:rsidR="0047680E" w:rsidRDefault="0047680E" w:rsidP="00E463D3">
      <w:pPr>
        <w:spacing w:line="240" w:lineRule="auto"/>
        <w:jc w:val="both"/>
        <w:rPr>
          <w:rFonts w:ascii="Times New Roman" w:eastAsia="Times New Roman" w:hAnsi="Times New Roman" w:cs="Times New Roman"/>
          <w:b/>
          <w:bCs/>
          <w:sz w:val="24"/>
          <w:szCs w:val="24"/>
        </w:rPr>
      </w:pPr>
    </w:p>
    <w:p w:rsidR="0047680E" w:rsidRDefault="0047680E" w:rsidP="00E463D3">
      <w:pPr>
        <w:tabs>
          <w:tab w:val="left" w:pos="7825"/>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Прусов, Е.С</w:t>
      </w:r>
      <w:r>
        <w:rPr>
          <w:rFonts w:ascii="Times New Roman" w:eastAsia="Times New Roman" w:hAnsi="Times New Roman" w:cs="Times New Roman"/>
          <w:b/>
          <w:bCs/>
          <w:sz w:val="24"/>
          <w:szCs w:val="24"/>
        </w:rPr>
        <w:t>.</w:t>
      </w:r>
      <w:r w:rsidR="00965734">
        <w:rPr>
          <w:rFonts w:ascii="Times New Roman" w:eastAsia="Times New Roman" w:hAnsi="Times New Roman" w:cs="Times New Roman"/>
          <w:b/>
          <w:bCs/>
          <w:sz w:val="24"/>
          <w:szCs w:val="24"/>
        </w:rPr>
        <w:t xml:space="preserve"> </w:t>
      </w:r>
      <w:r w:rsidR="00965734">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УДК 669.14:536.7</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Программное обеспечение для термодинамического моделирования литейно-металлургических процессов</w:t>
      </w:r>
      <w:r>
        <w:rPr>
          <w:rFonts w:ascii="Times New Roman" w:eastAsia="Times New Roman" w:hAnsi="Times New Roman" w:cs="Times New Roman"/>
          <w:sz w:val="24"/>
          <w:szCs w:val="24"/>
        </w:rPr>
        <w:t xml:space="preserve"> / Е. С. Прусов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 №</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43-45: ил.</w:t>
      </w:r>
    </w:p>
    <w:p w:rsidR="00AC03CA" w:rsidRDefault="00AC03CA" w:rsidP="00E463D3">
      <w:pPr>
        <w:spacing w:line="240" w:lineRule="auto"/>
        <w:ind w:firstLine="360"/>
        <w:jc w:val="both"/>
        <w:rPr>
          <w:rFonts w:ascii="Times New Roman" w:eastAsia="Times New Roman" w:hAnsi="Times New Roman" w:cs="Times New Roman"/>
          <w:sz w:val="24"/>
          <w:szCs w:val="24"/>
        </w:rPr>
      </w:pPr>
    </w:p>
    <w:p w:rsidR="0047680E" w:rsidRDefault="0047680E" w:rsidP="00E463D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 алгоритм расчета термодинамических характеристик многокомпонентных систем, реализованный автором в среде программирования MS Visual Studio. На примере алюмоматричных композиционных материалов приведены результаты вычислений, демонстрирующие возможности разработанного программного обеспечения при решении прикладных задач химической термодинамики в области литейно-металлургического производства.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621.745.55:669.714.11</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Флюсы для производства алюминиевых сплавов</w:t>
      </w:r>
      <w:r>
        <w:rPr>
          <w:rFonts w:ascii="Times New Roman" w:eastAsia="Times New Roman" w:hAnsi="Times New Roman" w:cs="Times New Roman"/>
          <w:sz w:val="24"/>
          <w:szCs w:val="24"/>
        </w:rPr>
        <w:t xml:space="preserve"> / Д. А. Попов [и др.]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15-19: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и проанализированы виды флюсов для производства алюминиевых сплавов. Приведена классификация флюсов по назначению (рафинирование, модифицирование дегазация, защита сплава, газообразование) и агрегатному состоянию (газообразные и твердые) и содержание их основных компонентов. Основная роль кислорода, фтористых и хлористых солей при производстве алюминиевых сплавов, преимущества использования таблетированных и порошкообразных флюсов, а также технология их применения. </w:t>
      </w:r>
    </w:p>
    <w:p w:rsidR="0047680E" w:rsidRDefault="0047680E" w:rsidP="00E463D3">
      <w:pPr>
        <w:pStyle w:val="2"/>
        <w:spacing w:before="0" w:beforeAutospacing="0" w:after="0" w:afterAutospacing="0"/>
        <w:jc w:val="both"/>
        <w:rPr>
          <w:rFonts w:eastAsia="Times New Roman"/>
          <w:sz w:val="24"/>
          <w:szCs w:val="24"/>
        </w:rPr>
      </w:pPr>
    </w:p>
    <w:p w:rsidR="0047680E" w:rsidRDefault="0047680E" w:rsidP="00E463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МЕТАЛЛУРГИЯ. МЕТАЛЛУРГИЧЕСКОЕ</w:t>
      </w:r>
      <w:r w:rsidR="00AC03CA">
        <w:rPr>
          <w:rFonts w:ascii="Times New Roman" w:eastAsia="Times New Roman" w:hAnsi="Times New Roman" w:cs="Times New Roman"/>
          <w:b/>
          <w:sz w:val="24"/>
          <w:szCs w:val="24"/>
        </w:rPr>
        <w:t xml:space="preserve"> МАШИНОСТРОЕНИЕ</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tabs>
          <w:tab w:val="left" w:pos="6237"/>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Грачев, В.А.</w:t>
      </w:r>
      <w:r w:rsidR="00965734">
        <w:rPr>
          <w:rFonts w:ascii="Times New Roman" w:eastAsia="Times New Roman" w:hAnsi="Times New Roman" w:cs="Times New Roman"/>
          <w:b/>
          <w:bCs/>
          <w:i/>
          <w:sz w:val="24"/>
          <w:szCs w:val="24"/>
        </w:rPr>
        <w:t xml:space="preserve"> </w:t>
      </w:r>
      <w:r w:rsidR="00965734">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621.74.02:621.745:669.16.017</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Получение высококачественных чугунов при плавке в газовой вагранке</w:t>
      </w:r>
      <w:r>
        <w:rPr>
          <w:rFonts w:ascii="Times New Roman" w:eastAsia="Times New Roman" w:hAnsi="Times New Roman" w:cs="Times New Roman"/>
          <w:sz w:val="24"/>
          <w:szCs w:val="24"/>
        </w:rPr>
        <w:t xml:space="preserve">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В. А. Грачев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2-6: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Проведены физико-химические исследования процессов плавки чугуна в вагранках. Предложена конструкция газовых вагранок и технология выплавки в них высококачественных чугунов. Исследованы технические свойства чугунов из газовой и коксовой вагранки и их газосодержание. Показано, что в газовой вагранке свойства чугуна выше, структура и состав более подходит для компрессорного листа, что достигается за счет снижения содержания вредной примеси серы и более нужного содержания водорода, азота и кислорода в микроструктуре затвердевшего чугуна.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621.763:669.295</w:t>
      </w:r>
    </w:p>
    <w:p w:rsidR="009E7112" w:rsidRDefault="0047680E" w:rsidP="00E463D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эффективности СВС-компактирования функционально-градиентных материалов системы Ti-B</w:t>
      </w:r>
      <w:r>
        <w:rPr>
          <w:rFonts w:ascii="Times New Roman" w:eastAsia="Times New Roman" w:hAnsi="Times New Roman" w:cs="Times New Roman"/>
          <w:sz w:val="24"/>
          <w:szCs w:val="24"/>
        </w:rPr>
        <w:t xml:space="preserve"> / Г. В. Джандиери [и др.]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20-26: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8 назв.</w:t>
      </w:r>
      <w:r w:rsidR="009E7112">
        <w:rPr>
          <w:rFonts w:ascii="Times New Roman" w:eastAsia="Times New Roman" w:hAnsi="Times New Roman" w:cs="Times New Roman"/>
          <w:sz w:val="24"/>
          <w:szCs w:val="24"/>
        </w:rPr>
        <w:br w:type="page"/>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Решена задача оптимизации теплофизических режимов СВС-компанктирования функционально-градиентных материалов системы Ti-B. Сравнительным анализом эксплуатационных свойств обычных и получаемых после оптимизации заготовок показана возможность существенного повышения эффективности процесса компактирования и улучшения качества синтезируемого материала. Представлена конструкционная схема специальной термовакуумной пресс-формы для управления режимами компактирования. </w:t>
      </w:r>
    </w:p>
    <w:p w:rsidR="00AC03CA" w:rsidRDefault="00AC03CA" w:rsidP="00E463D3">
      <w:pPr>
        <w:spacing w:line="240" w:lineRule="auto"/>
        <w:jc w:val="both"/>
        <w:rPr>
          <w:rFonts w:ascii="Times New Roman" w:hAnsi="Times New Roman" w:cs="Times New Roman"/>
          <w:b/>
          <w:sz w:val="24"/>
          <w:szCs w:val="24"/>
        </w:rPr>
      </w:pPr>
    </w:p>
    <w:p w:rsidR="0047680E" w:rsidRDefault="0047680E" w:rsidP="00E463D3">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НЕФТЕГАЗОВАЯ,</w:t>
      </w:r>
      <w:r w:rsidR="00AC03CA">
        <w:rPr>
          <w:rFonts w:ascii="Times New Roman" w:hAnsi="Times New Roman" w:cs="Times New Roman"/>
          <w:b/>
          <w:sz w:val="24"/>
          <w:szCs w:val="24"/>
        </w:rPr>
        <w:t xml:space="preserve"> </w:t>
      </w:r>
      <w:r>
        <w:rPr>
          <w:rFonts w:ascii="Times New Roman" w:hAnsi="Times New Roman" w:cs="Times New Roman"/>
          <w:b/>
          <w:sz w:val="24"/>
          <w:szCs w:val="24"/>
        </w:rPr>
        <w:t>НЕФТЕХИМИЧЕСКАЯ</w:t>
      </w:r>
      <w:r w:rsidR="00AC03CA">
        <w:rPr>
          <w:rFonts w:ascii="Times New Roman" w:hAnsi="Times New Roman" w:cs="Times New Roman"/>
          <w:b/>
          <w:sz w:val="24"/>
          <w:szCs w:val="24"/>
        </w:rPr>
        <w:t xml:space="preserve"> ПРОМЫШЛЕННОСТЬ</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Белоусенко, И.В.</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Некоторые вопросы создания АСУ электроснабжением объектов нефтегазового комплекса</w:t>
      </w:r>
      <w:r>
        <w:rPr>
          <w:rFonts w:ascii="Times New Roman" w:eastAsia="Times New Roman" w:hAnsi="Times New Roman" w:cs="Times New Roman"/>
          <w:sz w:val="24"/>
          <w:szCs w:val="24"/>
        </w:rPr>
        <w:t xml:space="preserve"> / И. В. Белоусенко, А. В. Егоров, Г. Г. Малиновская // Промышленная энергетика.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10-15: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8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проблемы создания АСУ электроснабжением (АСУ ЭС) для объектов нефтяной и газовой промышленности, сформулированы актуальные функциональные задачи для таких АСУ. Проанализированы проблемы мониторинга питающего напряжения и показано, что непосредственно средствами АСУ ЭС они решаться не могут. Показано, что основной функцией АСУ ЭС на сегодняшний день должна быть поддержка принятия решений в области оперативного управления электротехническими системами, а также в области планирования их развития и модернизации. </w:t>
      </w:r>
    </w:p>
    <w:p w:rsidR="005C5A81" w:rsidRDefault="005C5A81" w:rsidP="005C5A81">
      <w:pPr>
        <w:spacing w:line="240" w:lineRule="auto"/>
        <w:jc w:val="both"/>
        <w:rPr>
          <w:rFonts w:ascii="Times New Roman" w:eastAsia="Times New Roman" w:hAnsi="Times New Roman" w:cs="Times New Roman"/>
          <w:b/>
          <w:bCs/>
          <w:i/>
          <w:sz w:val="24"/>
          <w:szCs w:val="24"/>
        </w:rPr>
      </w:pPr>
    </w:p>
    <w:p w:rsidR="005C5A81" w:rsidRDefault="005C5A81" w:rsidP="005C5A81">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Кашаев, Р.С.</w:t>
      </w:r>
    </w:p>
    <w:p w:rsidR="005C5A81" w:rsidRDefault="005C5A81" w:rsidP="005C5A81">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Облагораживание мазута и нефти путём их промывки и последующей сепарации от воды во вращающихся магнитном и электрическом полях</w:t>
      </w:r>
      <w:r>
        <w:rPr>
          <w:rFonts w:ascii="Times New Roman" w:eastAsia="Times New Roman" w:hAnsi="Times New Roman" w:cs="Times New Roman"/>
          <w:sz w:val="24"/>
          <w:szCs w:val="24"/>
        </w:rPr>
        <w:t xml:space="preserve"> / Р. С. Кашаев, </w:t>
      </w:r>
      <w:r>
        <w:rPr>
          <w:rFonts w:ascii="Times New Roman" w:eastAsia="Times New Roman" w:hAnsi="Times New Roman" w:cs="Times New Roman"/>
          <w:sz w:val="24"/>
          <w:szCs w:val="24"/>
        </w:rPr>
        <w:br/>
        <w:t xml:space="preserve">О. В. Козелков, Л. Р. Хазиахметова // Энергетик. – 2016. – № 8. – С. 17-20: ил. – </w:t>
      </w:r>
      <w:r>
        <w:rPr>
          <w:rFonts w:ascii="Times New Roman" w:eastAsia="Times New Roman" w:hAnsi="Times New Roman" w:cs="Times New Roman"/>
          <w:sz w:val="24"/>
          <w:szCs w:val="24"/>
        </w:rPr>
        <w:br/>
        <w:t>Библиогр.: 9 назв.</w:t>
      </w:r>
    </w:p>
    <w:p w:rsidR="005C5A81" w:rsidRDefault="005C5A81" w:rsidP="005C5A81">
      <w:pPr>
        <w:spacing w:line="240" w:lineRule="auto"/>
        <w:ind w:firstLine="708"/>
        <w:jc w:val="both"/>
        <w:rPr>
          <w:rFonts w:ascii="Times New Roman" w:eastAsia="Times New Roman" w:hAnsi="Times New Roman" w:cs="Times New Roman"/>
          <w:sz w:val="24"/>
          <w:szCs w:val="24"/>
        </w:rPr>
      </w:pPr>
    </w:p>
    <w:p w:rsidR="005C5A81" w:rsidRDefault="005C5A81" w:rsidP="005C5A81">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облагороживания мазутов их промывкой с последующим отделением воды из водомазутных смесей во вращающихся магнитном и неоднородном электрическом полях. Описана установка для создания вращающегося магнитного и неоднородного электрического полей, а также методики контроля процесса и определения параметров водомазутных смесей в процессе обезвоживания. </w:t>
      </w:r>
    </w:p>
    <w:p w:rsidR="005C5A81" w:rsidRDefault="005C5A81" w:rsidP="005C5A81">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СВАРКА,</w:t>
      </w:r>
      <w:r w:rsidR="00AC03CA">
        <w:rPr>
          <w:rFonts w:ascii="Times New Roman" w:hAnsi="Times New Roman" w:cs="Times New Roman"/>
          <w:b/>
          <w:sz w:val="24"/>
          <w:szCs w:val="24"/>
        </w:rPr>
        <w:t xml:space="preserve"> </w:t>
      </w:r>
      <w:r>
        <w:rPr>
          <w:rFonts w:ascii="Times New Roman" w:hAnsi="Times New Roman" w:cs="Times New Roman"/>
          <w:b/>
          <w:sz w:val="24"/>
          <w:szCs w:val="24"/>
        </w:rPr>
        <w:t>ПАЙКА,</w:t>
      </w:r>
      <w:r w:rsidR="00AC03CA">
        <w:rPr>
          <w:rFonts w:ascii="Times New Roman" w:hAnsi="Times New Roman" w:cs="Times New Roman"/>
          <w:b/>
          <w:sz w:val="24"/>
          <w:szCs w:val="24"/>
        </w:rPr>
        <w:t xml:space="preserve"> </w:t>
      </w:r>
      <w:r>
        <w:rPr>
          <w:rFonts w:ascii="Times New Roman" w:hAnsi="Times New Roman" w:cs="Times New Roman"/>
          <w:b/>
          <w:sz w:val="24"/>
          <w:szCs w:val="24"/>
        </w:rPr>
        <w:t>РЕЗКА</w:t>
      </w:r>
      <w:r w:rsidR="00AC03CA">
        <w:rPr>
          <w:rFonts w:ascii="Times New Roman" w:hAnsi="Times New Roman" w:cs="Times New Roman"/>
          <w:b/>
          <w:sz w:val="24"/>
          <w:szCs w:val="24"/>
        </w:rPr>
        <w:t xml:space="preserve"> </w:t>
      </w:r>
      <w:r>
        <w:rPr>
          <w:rFonts w:ascii="Times New Roman" w:hAnsi="Times New Roman" w:cs="Times New Roman"/>
          <w:b/>
          <w:sz w:val="24"/>
          <w:szCs w:val="24"/>
        </w:rPr>
        <w:t>И</w:t>
      </w:r>
      <w:r w:rsidR="00AC03CA">
        <w:rPr>
          <w:rFonts w:ascii="Times New Roman" w:hAnsi="Times New Roman" w:cs="Times New Roman"/>
          <w:b/>
          <w:sz w:val="24"/>
          <w:szCs w:val="24"/>
        </w:rPr>
        <w:t xml:space="preserve"> </w:t>
      </w:r>
      <w:r>
        <w:rPr>
          <w:rFonts w:ascii="Times New Roman" w:hAnsi="Times New Roman" w:cs="Times New Roman"/>
          <w:b/>
          <w:sz w:val="24"/>
          <w:szCs w:val="24"/>
        </w:rPr>
        <w:t>СКЛЕИВАНИЕ</w:t>
      </w:r>
      <w:r w:rsidR="00AC03CA">
        <w:rPr>
          <w:rFonts w:ascii="Times New Roman" w:hAnsi="Times New Roman" w:cs="Times New Roman"/>
          <w:b/>
          <w:sz w:val="24"/>
          <w:szCs w:val="24"/>
        </w:rPr>
        <w:t xml:space="preserve"> МЕТАЛЛОВ</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tabs>
          <w:tab w:val="left" w:pos="6691"/>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Оглодков, М.С.</w:t>
      </w:r>
      <w:r w:rsidR="00965734">
        <w:rPr>
          <w:rFonts w:ascii="Times New Roman" w:eastAsia="Times New Roman" w:hAnsi="Times New Roman" w:cs="Times New Roman"/>
          <w:b/>
          <w:bCs/>
          <w:i/>
          <w:sz w:val="24"/>
          <w:szCs w:val="24"/>
        </w:rPr>
        <w:t xml:space="preserve"> </w:t>
      </w:r>
      <w:r w:rsidR="00965734">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621.79:621.7.029:669.71</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Усиление слоистым алюмостеклопластиком сварного соединения панели из </w:t>
      </w:r>
      <w:r w:rsidR="00965734">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Al-Li-сплава</w:t>
      </w:r>
      <w:r>
        <w:rPr>
          <w:rFonts w:ascii="Times New Roman" w:eastAsia="Times New Roman" w:hAnsi="Times New Roman" w:cs="Times New Roman"/>
          <w:sz w:val="24"/>
          <w:szCs w:val="24"/>
        </w:rPr>
        <w:t xml:space="preserve"> / М. С. Оглодков, Е. Н. Рябова, В. А. Романенко</w:t>
      </w:r>
      <w:r w:rsidR="00636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35-38: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5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возможных вариантов усиления сварных соединений в конструкциях самолетов, способов подготовки поверхности полуфабрикатов из Al-Li-сплавов под склеивание. Исследовали клеевое соединений слоистых алюмостеклопластиков на базе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Al-Li-сплавов 1441 и В-1469 и сварной прессованной панели из сплава В-1469. Оценен уровень прочностных и ресурсных характеристик усиленного сварного соединения и выбран наиболее эффективный вариант усиления. </w:t>
      </w:r>
    </w:p>
    <w:p w:rsidR="0047680E" w:rsidRDefault="0047680E" w:rsidP="00E463D3">
      <w:pPr>
        <w:pStyle w:val="2"/>
        <w:spacing w:before="0" w:beforeAutospacing="0" w:after="0" w:afterAutospacing="0"/>
        <w:jc w:val="both"/>
        <w:rPr>
          <w:rFonts w:eastAsia="Times New Roman"/>
          <w:sz w:val="24"/>
          <w:szCs w:val="24"/>
        </w:rPr>
      </w:pPr>
    </w:p>
    <w:p w:rsidR="004737A4" w:rsidRDefault="004737A4">
      <w:pPr>
        <w:rPr>
          <w:rFonts w:ascii="Times New Roman" w:hAnsi="Times New Roman" w:cs="Times New Roman"/>
          <w:b/>
          <w:bCs/>
          <w:sz w:val="24"/>
          <w:szCs w:val="24"/>
        </w:rPr>
      </w:pPr>
      <w:r>
        <w:rPr>
          <w:sz w:val="24"/>
          <w:szCs w:val="24"/>
        </w:rPr>
        <w:br w:type="page"/>
      </w:r>
    </w:p>
    <w:p w:rsidR="0047680E" w:rsidRDefault="0047680E" w:rsidP="00E463D3">
      <w:pPr>
        <w:pStyle w:val="2"/>
        <w:spacing w:before="0" w:beforeAutospacing="0" w:after="0" w:afterAutospacing="0"/>
        <w:jc w:val="both"/>
        <w:rPr>
          <w:sz w:val="24"/>
          <w:szCs w:val="24"/>
        </w:rPr>
      </w:pPr>
      <w:r>
        <w:rPr>
          <w:sz w:val="24"/>
          <w:szCs w:val="24"/>
        </w:rPr>
        <w:lastRenderedPageBreak/>
        <w:t>ТРАНСПОРТНОЕ</w:t>
      </w:r>
      <w:r w:rsidR="00AC03CA">
        <w:rPr>
          <w:sz w:val="24"/>
          <w:szCs w:val="24"/>
        </w:rPr>
        <w:t xml:space="preserve"> </w:t>
      </w:r>
      <w:r>
        <w:rPr>
          <w:sz w:val="24"/>
          <w:szCs w:val="24"/>
        </w:rPr>
        <w:t>МАШИНОСТРОЕНИЕ</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Болобонов, С.И.</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Исправные гидравлические гасители колебаний</w:t>
      </w:r>
      <w:r w:rsidR="00AC03CA">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залог безопасного и комфортного движения</w:t>
      </w:r>
      <w:r>
        <w:rPr>
          <w:rFonts w:ascii="Times New Roman" w:eastAsia="Times New Roman" w:hAnsi="Times New Roman" w:cs="Times New Roman"/>
          <w:sz w:val="24"/>
          <w:szCs w:val="24"/>
        </w:rPr>
        <w:t xml:space="preserve"> / С. И. Болобонов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31: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повышения качества ремонта демпферов (гидравлических гасителей колебаний) Проектно-конструкторским бюро локомотивного хозяйства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филиалом ОАО "РЖД"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(ПКБ ЦТ) разработан и успешно эксплуатируется в сервисных локомотивных депо принципиально новый стенд для испытания гидравлических гасителей колебаний тягового подвижного состава АЗ 124. </w:t>
      </w:r>
    </w:p>
    <w:p w:rsidR="00965734" w:rsidRDefault="00965734" w:rsidP="004737A4">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Головаш, А.Н.</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Реостатные испытания</w:t>
      </w:r>
      <w:r w:rsidR="00AC03CA">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неотъемлемая часть ремонта тепловозов</w:t>
      </w:r>
      <w:r>
        <w:rPr>
          <w:rFonts w:ascii="Times New Roman" w:eastAsia="Times New Roman" w:hAnsi="Times New Roman" w:cs="Times New Roman"/>
          <w:sz w:val="24"/>
          <w:szCs w:val="24"/>
        </w:rPr>
        <w:t xml:space="preserve"> / А. Н. Головаш, П. Н. Рубежанский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37-38.</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Реостатные испытания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неотъемлемая часть технологического процесса и завершающий этап ремонта тепловозов. В различных документах ОАО "РЖД" на реостатные испытания существуют нормы и требования. В соответствии с техническими требованиями на реостатные испытания обкатка выполняется не только после ремонтов ТР-2, ТР-3 и большого объема ремонтов, но также в любом случае после замены определенных деталей, узлов и агрегатов независимо от вида ремонта.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Ермишкин, И.А.</w:t>
      </w:r>
    </w:p>
    <w:p w:rsidR="0047680E" w:rsidRDefault="0047680E" w:rsidP="00E463D3">
      <w:pPr>
        <w:spacing w:line="240" w:lineRule="auto"/>
        <w:ind w:firstLine="708"/>
        <w:jc w:val="both"/>
        <w:rPr>
          <w:rFonts w:ascii="Times New Roman" w:eastAsia="Times New Roman" w:hAnsi="Times New Roman" w:cs="Times New Roman"/>
          <w:sz w:val="24"/>
          <w:szCs w:val="24"/>
        </w:rPr>
      </w:pPr>
      <w:r w:rsidRPr="00965734">
        <w:rPr>
          <w:rFonts w:ascii="Times New Roman" w:eastAsia="Times New Roman" w:hAnsi="Times New Roman" w:cs="Times New Roman"/>
          <w:b/>
          <w:spacing w:val="-2"/>
          <w:sz w:val="24"/>
          <w:szCs w:val="24"/>
        </w:rPr>
        <w:t>Особенности электрических аппаратов и цепей электровозов ЧС7</w:t>
      </w:r>
      <w:r w:rsidRPr="00965734">
        <w:rPr>
          <w:rFonts w:ascii="Times New Roman" w:eastAsia="Times New Roman" w:hAnsi="Times New Roman" w:cs="Times New Roman"/>
          <w:spacing w:val="-2"/>
          <w:sz w:val="24"/>
          <w:szCs w:val="24"/>
        </w:rPr>
        <w:t xml:space="preserve"> / И. А. Ермишкин</w:t>
      </w:r>
      <w:r>
        <w:rPr>
          <w:rFonts w:ascii="Times New Roman" w:eastAsia="Times New Roman" w:hAnsi="Times New Roman" w:cs="Times New Roman"/>
          <w:sz w:val="24"/>
          <w:szCs w:val="24"/>
        </w:rPr>
        <w:t xml:space="preserve">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22-27: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изложены особенности конструкции электрического оборудования и расположения аппаратов электровозов ЧС7. </w:t>
      </w:r>
    </w:p>
    <w:p w:rsidR="0047680E" w:rsidRDefault="0047680E" w:rsidP="00E463D3">
      <w:pPr>
        <w:spacing w:line="240" w:lineRule="auto"/>
        <w:jc w:val="both"/>
        <w:rPr>
          <w:rFonts w:ascii="Times New Roman" w:eastAsia="Times New Roman" w:hAnsi="Times New Roman" w:cs="Times New Roman"/>
          <w:b/>
          <w:bCs/>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Звягинцев, А.М.</w:t>
      </w:r>
    </w:p>
    <w:p w:rsidR="0047680E" w:rsidRDefault="0047680E" w:rsidP="00E463D3">
      <w:pPr>
        <w:spacing w:line="240" w:lineRule="auto"/>
        <w:ind w:firstLine="708"/>
        <w:jc w:val="both"/>
        <w:rPr>
          <w:rFonts w:ascii="Times New Roman" w:eastAsia="Times New Roman" w:hAnsi="Times New Roman" w:cs="Times New Roman"/>
          <w:sz w:val="24"/>
          <w:szCs w:val="24"/>
        </w:rPr>
      </w:pPr>
      <w:r w:rsidRPr="00965734">
        <w:rPr>
          <w:rFonts w:ascii="Times New Roman" w:eastAsia="Times New Roman" w:hAnsi="Times New Roman" w:cs="Times New Roman"/>
          <w:b/>
          <w:spacing w:val="-2"/>
          <w:sz w:val="24"/>
          <w:szCs w:val="24"/>
        </w:rPr>
        <w:t>Крышевому оборудованию электровозов</w:t>
      </w:r>
      <w:r w:rsidR="00AC03CA" w:rsidRPr="00965734">
        <w:rPr>
          <w:rFonts w:ascii="Times New Roman" w:eastAsia="Times New Roman" w:hAnsi="Times New Roman" w:cs="Times New Roman"/>
          <w:b/>
          <w:spacing w:val="-2"/>
          <w:sz w:val="24"/>
          <w:szCs w:val="24"/>
        </w:rPr>
        <w:t xml:space="preserve"> – </w:t>
      </w:r>
      <w:r w:rsidRPr="00965734">
        <w:rPr>
          <w:rFonts w:ascii="Times New Roman" w:eastAsia="Times New Roman" w:hAnsi="Times New Roman" w:cs="Times New Roman"/>
          <w:b/>
          <w:spacing w:val="-2"/>
          <w:sz w:val="24"/>
          <w:szCs w:val="24"/>
        </w:rPr>
        <w:t>повышенное внимание!</w:t>
      </w:r>
      <w:r w:rsidRPr="00965734">
        <w:rPr>
          <w:rFonts w:ascii="Times New Roman" w:eastAsia="Times New Roman" w:hAnsi="Times New Roman" w:cs="Times New Roman"/>
          <w:spacing w:val="-2"/>
          <w:sz w:val="24"/>
          <w:szCs w:val="24"/>
        </w:rPr>
        <w:t xml:space="preserve"> / А. М. Звягинцев</w:t>
      </w:r>
      <w:r>
        <w:rPr>
          <w:rFonts w:ascii="Times New Roman" w:eastAsia="Times New Roman" w:hAnsi="Times New Roman" w:cs="Times New Roman"/>
          <w:sz w:val="24"/>
          <w:szCs w:val="24"/>
        </w:rPr>
        <w:t xml:space="preserve">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32-34: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Описано крышевое оборудование электровозов: назначение, устройство и работа токоприемника 17РР2, крышевого разъединителя типа 7FC, вентильного разрядника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РМВУ-3,3 и их возможные неисправности.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Игин, В.Н.</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Эффективность рекуперативного торможения</w:t>
      </w:r>
      <w:r>
        <w:rPr>
          <w:rFonts w:ascii="Times New Roman" w:eastAsia="Times New Roman" w:hAnsi="Times New Roman" w:cs="Times New Roman"/>
          <w:sz w:val="24"/>
          <w:szCs w:val="24"/>
        </w:rPr>
        <w:t xml:space="preserve"> / В. Н. Игин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2-6: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последние десятилетия динамично развивается сфера деятельности локомотивного хозяйства ОО "РЖД"</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возврат электрической энергии в сеть при рекуперативном торможении поезда локомотивом. Приведены динамика расхода и возврата электроэнергии локомотивами за период 2010-2015 гг.; абсолютные значения рекуперации электроэнергии в I квартале 2016 г. и др. показатели. Приведен прогноз рекуперации электроэнергии на текущий 2016 г. Описаны факторы, помимо конструктивных особенностей, влияющих на эффективность применения рекуперации. Изложены мероприятия, реализация которых приведет к сохранению количества рекуперированной электроэнергии.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Ильин, Ю.Л.</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Паровозы ФД: история "Железного Феликса"</w:t>
      </w:r>
      <w:r>
        <w:rPr>
          <w:rFonts w:ascii="Times New Roman" w:eastAsia="Times New Roman" w:hAnsi="Times New Roman" w:cs="Times New Roman"/>
          <w:sz w:val="24"/>
          <w:szCs w:val="24"/>
        </w:rPr>
        <w:t xml:space="preserve"> / Ю. Л. Ильин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46-48: ил.</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Карянин, В.И.</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Будь бдителен, машинист, в пути следования!: Листая страницы нового издания</w:t>
      </w:r>
      <w:r>
        <w:rPr>
          <w:rFonts w:ascii="Times New Roman" w:eastAsia="Times New Roman" w:hAnsi="Times New Roman" w:cs="Times New Roman"/>
          <w:sz w:val="24"/>
          <w:szCs w:val="24"/>
        </w:rPr>
        <w:t xml:space="preserve">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В. И. Карянин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16-21: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Дирекцией тяги ОАО "РЖД" подготовлено к изданию "Пособие для машинистов локомотивов в вопросах обеспечения безопасности движения поездов" (авторы-составители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инженеры В.И. Шошин и Л.Е. Рудаков). Опубликован в журнальном изложении один из разделов практического пособия для локомотивной бригады "Отдельные особенности обеспечения безопасности движения поездов".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Качественные испытания локомотивов</w:t>
      </w:r>
      <w:r w:rsidR="00AC03CA">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гарантия их эффективного использования</w:t>
      </w:r>
      <w:r>
        <w:rPr>
          <w:rFonts w:ascii="Times New Roman" w:eastAsia="Times New Roman" w:hAnsi="Times New Roman" w:cs="Times New Roman"/>
          <w:sz w:val="24"/>
          <w:szCs w:val="24"/>
        </w:rPr>
        <w:t xml:space="preserve">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7-9: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Выявить "слабые" места в реализации полигонных технологий на сети ОАО "РЖД" позволяют испытания по определению критических норм масс поездов. Для перехода на новый качественный уровень испытаний по решению ОАО "РЖД" в ПКБ ЦТ в 2015 г. был создан и аккредитован на техническую компетентность и независимость испытательный центр (ИЦ ПКБ ЦТ), который обеспечивает системный подход к организации и проведению испытаний по определению критических норм масс грузовых поездов с локомотивами всех видов тяги. </w:t>
      </w:r>
    </w:p>
    <w:p w:rsidR="0047680E" w:rsidRDefault="0047680E" w:rsidP="00E463D3">
      <w:pPr>
        <w:spacing w:line="240" w:lineRule="auto"/>
        <w:jc w:val="both"/>
        <w:rPr>
          <w:rFonts w:ascii="Times New Roman" w:eastAsia="Times New Roman" w:hAnsi="Times New Roman" w:cs="Times New Roman"/>
          <w:b/>
          <w:bCs/>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Кузнецов, К.В.</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Тепловоз ТЭМ14: особенности конструкции дизеля</w:t>
      </w:r>
      <w:r>
        <w:rPr>
          <w:rFonts w:ascii="Times New Roman" w:eastAsia="Times New Roman" w:hAnsi="Times New Roman" w:cs="Times New Roman"/>
          <w:sz w:val="24"/>
          <w:szCs w:val="24"/>
        </w:rPr>
        <w:t xml:space="preserve"> / К. В. Кузнецов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35-36: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силовой установки на тепловозе ТЭМ14 служат два дизель-генератора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ДГ-882ЛМ, каждый из которых состоит из четырехтактного восьмицилиндрового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V-образного дизеля с газотурбинным наддувом и охлаждением наддувочного воздуха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ВДМ-21ЭЛ2М. Даны основные характеристики дизеля ВДМ-21ЭЛ2М, а также описаны конструкция дизеля ВДМ-21ЭЛ2М и блок-картера. (Окончание следует). </w:t>
      </w:r>
    </w:p>
    <w:p w:rsidR="0047680E" w:rsidRDefault="0047680E" w:rsidP="00E463D3">
      <w:pPr>
        <w:spacing w:line="240" w:lineRule="auto"/>
        <w:jc w:val="both"/>
        <w:rPr>
          <w:rFonts w:ascii="Times New Roman" w:eastAsia="Times New Roman" w:hAnsi="Times New Roman" w:cs="Times New Roman"/>
          <w:b/>
          <w:bCs/>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Лаптев, Г.А.</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прочном фундаменте истории и традиций : Петрозаводскому локомотивному депо</w:t>
      </w:r>
      <w:r w:rsidR="00AC03CA">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100 лет!</w:t>
      </w:r>
      <w:r>
        <w:rPr>
          <w:rFonts w:ascii="Times New Roman" w:eastAsia="Times New Roman" w:hAnsi="Times New Roman" w:cs="Times New Roman"/>
          <w:sz w:val="24"/>
          <w:szCs w:val="24"/>
        </w:rPr>
        <w:t xml:space="preserve"> / Г. А. Лаптев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10-12: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Описана история становления и новые перспективы развития Петрозаводского локомотивного депо, которому 10 июня 2016 г. торжественно отметили вековой юбилей. </w:t>
      </w:r>
    </w:p>
    <w:p w:rsidR="0047680E" w:rsidRDefault="0047680E" w:rsidP="00E463D3">
      <w:pPr>
        <w:spacing w:line="240" w:lineRule="auto"/>
        <w:jc w:val="both"/>
        <w:rPr>
          <w:rFonts w:ascii="Times New Roman" w:eastAsia="Times New Roman" w:hAnsi="Times New Roman" w:cs="Times New Roman"/>
          <w:b/>
          <w:bCs/>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Опытные рейсы электровоза 2ЭВ120-001</w:t>
      </w:r>
      <w:r>
        <w:rPr>
          <w:rFonts w:ascii="Times New Roman" w:eastAsia="Times New Roman" w:hAnsi="Times New Roman" w:cs="Times New Roman"/>
          <w:sz w:val="24"/>
          <w:szCs w:val="24"/>
        </w:rPr>
        <w:t xml:space="preserve">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 – С. 39: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грузовой электровоз 2ЭВ120 ("Князь Владимир"), построенный ООО "Первая Локомотивная Компания" (г. Энгельс), который вобрал в себя лучший мировой опыт локомотивостроения, учитывающий условия эксплуатации и нормативную базу в России. </w:t>
      </w:r>
      <w:r w:rsidR="009E711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настоящее время тяговая единица проходит всесторонние испытания. </w:t>
      </w:r>
    </w:p>
    <w:p w:rsidR="0047680E" w:rsidRDefault="0047680E" w:rsidP="00E463D3">
      <w:pPr>
        <w:spacing w:line="240" w:lineRule="auto"/>
        <w:jc w:val="both"/>
        <w:rPr>
          <w:rFonts w:ascii="Times New Roman" w:eastAsia="Times New Roman" w:hAnsi="Times New Roman" w:cs="Times New Roman"/>
          <w:b/>
          <w:bCs/>
          <w:i/>
          <w:sz w:val="24"/>
          <w:szCs w:val="24"/>
        </w:rPr>
      </w:pPr>
    </w:p>
    <w:p w:rsidR="004737A4" w:rsidRDefault="004737A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Пилипенко, А.С.</w:t>
      </w:r>
    </w:p>
    <w:p w:rsidR="0047680E" w:rsidRDefault="0047680E" w:rsidP="00E463D3">
      <w:pPr>
        <w:spacing w:line="240" w:lineRule="auto"/>
        <w:ind w:firstLine="708"/>
        <w:jc w:val="both"/>
        <w:rPr>
          <w:rFonts w:ascii="Times New Roman" w:eastAsia="Times New Roman" w:hAnsi="Times New Roman" w:cs="Times New Roman"/>
          <w:sz w:val="24"/>
          <w:szCs w:val="24"/>
        </w:rPr>
      </w:pPr>
      <w:r w:rsidRPr="00965734">
        <w:rPr>
          <w:rFonts w:ascii="Times New Roman" w:eastAsia="Times New Roman" w:hAnsi="Times New Roman" w:cs="Times New Roman"/>
          <w:b/>
          <w:spacing w:val="-5"/>
          <w:sz w:val="24"/>
          <w:szCs w:val="24"/>
        </w:rPr>
        <w:t xml:space="preserve">Функциональная схема электронного регулятора тепловоза ЧМЭЗТ </w:t>
      </w:r>
      <w:r w:rsidRPr="00965734">
        <w:rPr>
          <w:rFonts w:ascii="Times New Roman" w:eastAsia="Times New Roman" w:hAnsi="Times New Roman" w:cs="Times New Roman"/>
          <w:spacing w:val="-5"/>
          <w:sz w:val="24"/>
          <w:szCs w:val="24"/>
        </w:rPr>
        <w:t>/ А. С. Пилипенко</w:t>
      </w:r>
      <w:r>
        <w:rPr>
          <w:rFonts w:ascii="Times New Roman" w:eastAsia="Times New Roman" w:hAnsi="Times New Roman" w:cs="Times New Roman"/>
          <w:sz w:val="24"/>
          <w:szCs w:val="24"/>
        </w:rPr>
        <w:t xml:space="preserve">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28-30: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цикла статей "Устранение неисправностей в цепях управления тепловоза ЧМЭЗТ", опубликованных в журнале "Локомотив" № 4-6, 2016 г. В этом номере журнала приведены функциональная схема электронного регулятора GC43P, которыми оборудованы тепловозы ЧМЭЗТ с номерами 6245-6664 и 6885-7454, а также таблицы с перечнем внутренних и выходных сигналов блоков электронного регулятора.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Руднев, В.С.</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Принципы работы основных узлов и агрегатов тепловоза : Часть 11. Гидравлические передачи локомотивов: 11.1. Классификация гидравлических передач. гидротрансформаторы и гидромуфты</w:t>
      </w:r>
      <w:r>
        <w:rPr>
          <w:rFonts w:ascii="Times New Roman" w:eastAsia="Times New Roman" w:hAnsi="Times New Roman" w:cs="Times New Roman"/>
          <w:sz w:val="24"/>
          <w:szCs w:val="24"/>
        </w:rPr>
        <w:t xml:space="preserve"> / В. С. Руднев // Локомотив.</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sidR="00965734">
        <w:rPr>
          <w:rFonts w:ascii="Times New Roman" w:eastAsia="Times New Roman" w:hAnsi="Times New Roman" w:cs="Times New Roman"/>
          <w:sz w:val="24"/>
          <w:szCs w:val="24"/>
        </w:rPr>
        <w:br/>
      </w:r>
      <w:r>
        <w:rPr>
          <w:rFonts w:ascii="Times New Roman" w:eastAsia="Times New Roman" w:hAnsi="Times New Roman" w:cs="Times New Roman"/>
          <w:sz w:val="24"/>
          <w:szCs w:val="24"/>
        </w:rPr>
        <w:t>С. 40-45: ил.</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Чистов, В.К.</w:t>
      </w:r>
    </w:p>
    <w:p w:rsidR="0047680E" w:rsidRDefault="007F57A9" w:rsidP="00E463D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Семейная профессия</w:t>
      </w:r>
      <w:r w:rsidR="0047680E">
        <w:rPr>
          <w:rFonts w:ascii="Times New Roman" w:eastAsia="Times New Roman" w:hAnsi="Times New Roman" w:cs="Times New Roman"/>
          <w:b/>
          <w:sz w:val="24"/>
          <w:szCs w:val="24"/>
        </w:rPr>
        <w:t>: Очерк о трудовой династии Желтовых</w:t>
      </w:r>
      <w:r w:rsidR="0047680E">
        <w:rPr>
          <w:rFonts w:ascii="Times New Roman" w:eastAsia="Times New Roman" w:hAnsi="Times New Roman" w:cs="Times New Roman"/>
          <w:sz w:val="24"/>
          <w:szCs w:val="24"/>
        </w:rPr>
        <w:t xml:space="preserve"> / В. К. Чистов </w:t>
      </w:r>
      <w:r>
        <w:rPr>
          <w:rFonts w:ascii="Times New Roman" w:eastAsia="Times New Roman" w:hAnsi="Times New Roman" w:cs="Times New Roman"/>
          <w:sz w:val="24"/>
          <w:szCs w:val="24"/>
        </w:rPr>
        <w:br/>
      </w:r>
      <w:r w:rsidR="0047680E">
        <w:rPr>
          <w:rFonts w:ascii="Times New Roman" w:eastAsia="Times New Roman" w:hAnsi="Times New Roman" w:cs="Times New Roman"/>
          <w:sz w:val="24"/>
          <w:szCs w:val="24"/>
        </w:rPr>
        <w:t>// Локомотив.</w:t>
      </w:r>
      <w:r w:rsidR="00AC03CA">
        <w:rPr>
          <w:rFonts w:ascii="Times New Roman" w:eastAsia="Times New Roman" w:hAnsi="Times New Roman" w:cs="Times New Roman"/>
          <w:sz w:val="24"/>
          <w:szCs w:val="24"/>
        </w:rPr>
        <w:t xml:space="preserve"> – </w:t>
      </w:r>
      <w:r w:rsidR="0047680E">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sidR="0047680E">
        <w:rPr>
          <w:rFonts w:ascii="Times New Roman" w:eastAsia="Times New Roman" w:hAnsi="Times New Roman" w:cs="Times New Roman"/>
          <w:sz w:val="24"/>
          <w:szCs w:val="24"/>
        </w:rPr>
        <w:t>№ 7.</w:t>
      </w:r>
      <w:r w:rsidR="00AC03CA">
        <w:rPr>
          <w:rFonts w:ascii="Times New Roman" w:eastAsia="Times New Roman" w:hAnsi="Times New Roman" w:cs="Times New Roman"/>
          <w:sz w:val="24"/>
          <w:szCs w:val="24"/>
        </w:rPr>
        <w:t xml:space="preserve"> – </w:t>
      </w:r>
      <w:r w:rsidR="0047680E">
        <w:rPr>
          <w:rFonts w:ascii="Times New Roman" w:eastAsia="Times New Roman" w:hAnsi="Times New Roman" w:cs="Times New Roman"/>
          <w:sz w:val="24"/>
          <w:szCs w:val="24"/>
        </w:rPr>
        <w:t>С. 13-15: ил.</w:t>
      </w:r>
    </w:p>
    <w:p w:rsidR="0047680E" w:rsidRDefault="0047680E" w:rsidP="00E463D3">
      <w:pPr>
        <w:spacing w:line="240" w:lineRule="auto"/>
        <w:jc w:val="both"/>
        <w:rPr>
          <w:rFonts w:ascii="Times New Roman" w:hAnsi="Times New Roman" w:cs="Times New Roman"/>
          <w:sz w:val="24"/>
          <w:szCs w:val="24"/>
        </w:rPr>
      </w:pPr>
    </w:p>
    <w:p w:rsidR="0047680E" w:rsidRDefault="0047680E" w:rsidP="00E463D3">
      <w:pPr>
        <w:spacing w:line="240" w:lineRule="auto"/>
        <w:jc w:val="both"/>
        <w:rPr>
          <w:rFonts w:ascii="Times New Roman" w:hAnsi="Times New Roman" w:cs="Times New Roman"/>
          <w:b/>
          <w:sz w:val="24"/>
          <w:szCs w:val="24"/>
        </w:rPr>
      </w:pPr>
      <w:r>
        <w:rPr>
          <w:rFonts w:ascii="Times New Roman" w:hAnsi="Times New Roman" w:cs="Times New Roman"/>
          <w:b/>
          <w:sz w:val="24"/>
          <w:szCs w:val="24"/>
        </w:rPr>
        <w:t>ЭКОНОМИКА</w:t>
      </w:r>
      <w:r w:rsidR="00AC03CA">
        <w:rPr>
          <w:rFonts w:ascii="Times New Roman" w:hAnsi="Times New Roman" w:cs="Times New Roman"/>
          <w:b/>
          <w:sz w:val="24"/>
          <w:szCs w:val="24"/>
        </w:rPr>
        <w:t xml:space="preserve"> </w:t>
      </w:r>
      <w:r>
        <w:rPr>
          <w:rFonts w:ascii="Times New Roman" w:hAnsi="Times New Roman" w:cs="Times New Roman"/>
          <w:b/>
          <w:sz w:val="24"/>
          <w:szCs w:val="24"/>
        </w:rPr>
        <w:t>И</w:t>
      </w:r>
      <w:r w:rsidR="00AC03CA">
        <w:rPr>
          <w:rFonts w:ascii="Times New Roman" w:hAnsi="Times New Roman" w:cs="Times New Roman"/>
          <w:b/>
          <w:sz w:val="24"/>
          <w:szCs w:val="24"/>
        </w:rPr>
        <w:t xml:space="preserve"> </w:t>
      </w:r>
      <w:r>
        <w:rPr>
          <w:rFonts w:ascii="Times New Roman" w:hAnsi="Times New Roman" w:cs="Times New Roman"/>
          <w:b/>
          <w:sz w:val="24"/>
          <w:szCs w:val="24"/>
        </w:rPr>
        <w:t>ОРГАНИЗАЦИЯ</w:t>
      </w:r>
      <w:r w:rsidR="00AC03CA">
        <w:rPr>
          <w:rFonts w:ascii="Times New Roman" w:hAnsi="Times New Roman" w:cs="Times New Roman"/>
          <w:b/>
          <w:sz w:val="24"/>
          <w:szCs w:val="24"/>
        </w:rPr>
        <w:t xml:space="preserve"> ПРОИЗВОДСТВА</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Рязанцев, А.А.</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Профессиональное становление инновационного менеджера в компании энергетической отрасли</w:t>
      </w:r>
      <w:r>
        <w:rPr>
          <w:rFonts w:ascii="Times New Roman" w:eastAsia="Times New Roman" w:hAnsi="Times New Roman" w:cs="Times New Roman"/>
          <w:sz w:val="24"/>
          <w:szCs w:val="24"/>
        </w:rPr>
        <w:t xml:space="preserve"> / А. А. Рязанцев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37-39: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5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Проанализированы проблемы профессионального развития инновационных менеджеров компаний энергетической отрасли, описано влияние креативной деятельности инновационных менеджеров на рост конкурентоспособности компании. Даны практические рекомендации, касающиеся повышения качества обучения инновационных менеджеров будущего в региональных вузах и системе повышения квалификации энергетической отрасли. </w:t>
      </w:r>
    </w:p>
    <w:p w:rsidR="0047680E" w:rsidRDefault="0047680E" w:rsidP="00E463D3">
      <w:pPr>
        <w:spacing w:line="240" w:lineRule="auto"/>
        <w:jc w:val="both"/>
        <w:rPr>
          <w:rFonts w:ascii="Times New Roman" w:hAnsi="Times New Roman" w:cs="Times New Roman"/>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Чичирова, Н.Д.</w:t>
      </w:r>
    </w:p>
    <w:p w:rsidR="0047680E" w:rsidRDefault="0047680E" w:rsidP="00E463D3">
      <w:pPr>
        <w:spacing w:line="240" w:lineRule="auto"/>
        <w:ind w:firstLine="708"/>
        <w:jc w:val="both"/>
        <w:rPr>
          <w:rFonts w:ascii="Times New Roman" w:eastAsia="Times New Roman" w:hAnsi="Times New Roman" w:cs="Times New Roman"/>
          <w:sz w:val="24"/>
          <w:szCs w:val="24"/>
        </w:rPr>
      </w:pPr>
      <w:r w:rsidRPr="00965734">
        <w:rPr>
          <w:rFonts w:ascii="Times New Roman" w:eastAsia="Times New Roman" w:hAnsi="Times New Roman" w:cs="Times New Roman"/>
          <w:b/>
          <w:spacing w:val="-4"/>
          <w:sz w:val="24"/>
          <w:szCs w:val="24"/>
        </w:rPr>
        <w:t>Критериальная оценка надежности теплоснабжающих организаций</w:t>
      </w:r>
      <w:r w:rsidRPr="00965734">
        <w:rPr>
          <w:rFonts w:ascii="Times New Roman" w:eastAsia="Times New Roman" w:hAnsi="Times New Roman" w:cs="Times New Roman"/>
          <w:spacing w:val="-4"/>
          <w:sz w:val="24"/>
          <w:szCs w:val="24"/>
        </w:rPr>
        <w:t xml:space="preserve"> / Н. Д. Чичирова,</w:t>
      </w:r>
      <w:r>
        <w:rPr>
          <w:rFonts w:ascii="Times New Roman" w:eastAsia="Times New Roman" w:hAnsi="Times New Roman" w:cs="Times New Roman"/>
          <w:sz w:val="24"/>
          <w:szCs w:val="24"/>
        </w:rPr>
        <w:t xml:space="preserve"> И. Г. Ахметова // Промышленная энергетика.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2-9: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17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Показано, что единственной возможностью развития промышленной теплоэнергетики в современных условиях является привлечение инвестиций. Для этого требуется переход на современную модель рынка, свободную от регулирования и прозрачную для инвесторов. Привлечение частных и бюджетных инвестиций возможно лишь в том случае, если организация является инвестиционно</w:t>
      </w:r>
      <w:r w:rsidR="007F57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привлекательной и обладает определенным потенциалом надежности, который гарантирует возврат вложенных средств. Предложена универсальная методика определения потенциала надежности теплоснабжающей организации, который является основным критерием при выборе объекта инвестирования, как частных инвесторов, так и государства. </w:t>
      </w:r>
    </w:p>
    <w:p w:rsidR="0047680E" w:rsidRDefault="0047680E" w:rsidP="00E463D3">
      <w:pPr>
        <w:spacing w:line="240" w:lineRule="auto"/>
        <w:jc w:val="both"/>
        <w:rPr>
          <w:rFonts w:ascii="Times New Roman" w:eastAsia="Times New Roman" w:hAnsi="Times New Roman" w:cs="Times New Roman"/>
          <w:b/>
          <w:bCs/>
          <w:i/>
          <w:sz w:val="24"/>
          <w:szCs w:val="24"/>
        </w:rPr>
      </w:pPr>
    </w:p>
    <w:p w:rsidR="004737A4" w:rsidRDefault="004737A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47680E" w:rsidRDefault="0047680E" w:rsidP="00E463D3">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ЭНЕРГЕТИКА.</w:t>
      </w:r>
      <w:r w:rsidR="00AC03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ЭНЕРГЕТИЧЕСКОЕ</w:t>
      </w:r>
      <w:r w:rsidR="00AC03CA">
        <w:rPr>
          <w:rFonts w:ascii="Times New Roman" w:eastAsia="Times New Roman" w:hAnsi="Times New Roman" w:cs="Times New Roman"/>
          <w:b/>
          <w:bCs/>
          <w:sz w:val="24"/>
          <w:szCs w:val="24"/>
        </w:rPr>
        <w:t xml:space="preserve"> МАШИНОСТРОЕНИЕ</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Беляев, А.Н.</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управляемых подмагничиванием шунтирующих реакторов в электроэнергетических системах</w:t>
      </w:r>
      <w:r>
        <w:rPr>
          <w:rFonts w:ascii="Times New Roman" w:eastAsia="Times New Roman" w:hAnsi="Times New Roman" w:cs="Times New Roman"/>
          <w:sz w:val="24"/>
          <w:szCs w:val="24"/>
        </w:rPr>
        <w:t xml:space="preserve"> / А. Н. Беляев, А. М. Брянцев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9-13: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5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 опыт применения управляемых подмагничиванием шунтирующих реакторов (УШР) в электрических сетях различных классов напряжений. Приведены данные о масштабах их использования в электроэнергетических системах России и ряда других стран. Рассмотрены основные варианты применения УШР и источников реактивной мощности на их основе в энергосистемах. Использование УШР позволяет обеспечить непрерывное управление напряжением и реактивной мощностью, снижение потерь в сетях и повышение их эксплуатационной надежности за счет уменьшения числа переключений под нагрузкой трансформаторов, увеличение запаса устойчивости и демпфирование энергетической системы, минимизацию использования синхронных генераторов в качестве регулируемых источников реактивной мощности. Представлены примеры, иллюстрирующие эффективность стабилизации напряжения на базе источников реактивной мощности. </w:t>
      </w:r>
    </w:p>
    <w:p w:rsidR="0047680E" w:rsidRDefault="0047680E" w:rsidP="00E463D3">
      <w:pPr>
        <w:spacing w:line="240" w:lineRule="auto"/>
        <w:jc w:val="both"/>
        <w:rPr>
          <w:rFonts w:ascii="Times New Roman" w:eastAsia="Times New Roman" w:hAnsi="Times New Roman" w:cs="Times New Roman"/>
          <w:b/>
          <w:bCs/>
          <w:i/>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Беляков, Ю.П.</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Упрощение расчётов статической устойчивости электрических систем по методу центра инерции</w:t>
      </w:r>
      <w:r>
        <w:rPr>
          <w:rFonts w:ascii="Times New Roman" w:eastAsia="Times New Roman" w:hAnsi="Times New Roman" w:cs="Times New Roman"/>
          <w:sz w:val="24"/>
          <w:szCs w:val="24"/>
        </w:rPr>
        <w:t xml:space="preserve"> / Ю. П. Беляков // Электрические станции. – 2016. – № 8. – С. 35-38. – Библиогр.: 8 назв. </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новая методика упрощения расчетов статической устойчивости электрических систем, основанная на применении законов механических систем к системам электрическим, в частности, определение центра инерции, т.е. такой точки в схеме замещения электрической сети, которая может быть принята за базовую подстанцию, относительно которой можно вести расчет статической устойчивости расчетного узла (выдача мощности с эквивалентной станции на подстанцию такой мощности, напряжение на шинах которой остается постоянным). </w:t>
      </w:r>
    </w:p>
    <w:p w:rsidR="00447482" w:rsidRDefault="00447482" w:rsidP="00447482">
      <w:pPr>
        <w:spacing w:line="240" w:lineRule="auto"/>
        <w:jc w:val="both"/>
        <w:rPr>
          <w:rFonts w:ascii="Times New Roman" w:eastAsia="Times New Roman" w:hAnsi="Times New Roman" w:cs="Times New Roman"/>
          <w:b/>
          <w:bCs/>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Вергун, А.П.</w:t>
      </w:r>
    </w:p>
    <w:p w:rsidR="0047680E" w:rsidRDefault="0047680E" w:rsidP="00E463D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термогидродинамического режима двухфазного термосифона при различных тепловых нагрузках</w:t>
      </w:r>
      <w:r>
        <w:rPr>
          <w:rFonts w:ascii="Times New Roman" w:eastAsia="Times New Roman" w:hAnsi="Times New Roman" w:cs="Times New Roman"/>
          <w:sz w:val="24"/>
          <w:szCs w:val="24"/>
        </w:rPr>
        <w:t xml:space="preserve"> / А. П. Вергун, А. Э. Ни, А. Е. Нурпейис // Промышленная энергетика.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29-33: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12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математическое моделирование совместно протекающих процессов теплопроводности, вынужденной конвекции и фазовых превращений (испарение и конденсация) теплоносителя в термосифоне прямоугольного поперечного сечения. Задача сопряженного кондуктивно-конвективного теплопереноса сформулирована в безразмерных переменных "вихрь скорости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функция тока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температура" и решена методом конечных разностей. На основании анализа результатов численного моделирования (полей температур и скоростей движения пара) показано влияние плотности теплового потока, подводимого к нижней крышке термосифона, на перепад температур в паровом канале. Установлено, что параметры энергонасыщенного оборудования можно регулировать путем интенсификации отвода теплоты с поверхности верхней крышки термосифона. </w:t>
      </w:r>
    </w:p>
    <w:p w:rsidR="0047680E" w:rsidRDefault="0047680E" w:rsidP="00E463D3">
      <w:pPr>
        <w:spacing w:line="240" w:lineRule="auto"/>
        <w:jc w:val="both"/>
        <w:rPr>
          <w:rFonts w:ascii="Times New Roman" w:eastAsia="Times New Roman" w:hAnsi="Times New Roman" w:cs="Times New Roman"/>
          <w:b/>
          <w:bCs/>
          <w:sz w:val="24"/>
          <w:szCs w:val="24"/>
        </w:rPr>
      </w:pPr>
    </w:p>
    <w:p w:rsidR="004737A4" w:rsidRDefault="004737A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Высоцкий, С.П.</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Технические риски и страхование отказов в работе энергетического оборудования</w:t>
      </w:r>
      <w:r w:rsidR="00AC03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С. П. Высоцкий // Промышленная энергетика, 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19-23: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Библиогр.: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8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Выявлена необходимость категорирования или ранжирования отказов с учетом следующих составляющих: вероятности (или частоты), тяжести последствий и скорости наступления аварии после появления предвестников. Показано, что причинно-следственные связи отказов технических систем устанавливаются с помощью дерева отказов, учитывающего два состояния системы</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рабочее и отказавшее. Установлено, что для повышения надежности функционирования систем с учетом их деградации целесообразно применение трех уровней системы контроля: нормы, готовности к отказу (предвестник) и тревоги (аварийное состояние). Одним из решений компенсации затрат на устранение отказов является страхование. Рассмотрены варианты страхования отказов применительно к водогрейному котлу мощностью 1,1 МВт. Определены значения страховых сумм при различных вероятностях отказов оборудования и долях ущерба по отношению к общей стоимости оборудования.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Гридчин, А.А.</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технологии очистки солесодержащих стоков в промышленности и энергетике</w:t>
      </w:r>
      <w:r>
        <w:rPr>
          <w:rFonts w:ascii="Times New Roman" w:eastAsia="Times New Roman" w:hAnsi="Times New Roman" w:cs="Times New Roman"/>
          <w:sz w:val="24"/>
          <w:szCs w:val="24"/>
        </w:rPr>
        <w:t xml:space="preserve"> / А. А. Гридчин, Л. С. Сластенова, Е. В. Сороколатова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14-16.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9E7112" w:rsidRDefault="0047680E" w:rsidP="00E463D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посвящена проблеме образования и очистки сточных вод энергетических производств на примере Самарской ГРЭС в рамках проекта технического перевооружения узла сброса регенерационных стоков химводоочистки (ХВО), частично реализованного в 2014-2015 гг. Рассмотрен опыт внедрения новой технологии очистки стоков. Для уменьшения количества сбросных вод разработаны специальные мероприятия по извлечению части условно-чистых вод и повторному их использованию. Полная реализация проекта позволит исключить сбросы неочищенных стоков с ХВО станции в р. Волгу и обеспечить соблюдение санитарно-гигиенических, природоохранных норм и условий экологической</w:t>
      </w:r>
      <w:r w:rsidR="009E7112">
        <w:rPr>
          <w:rFonts w:ascii="Times New Roman" w:eastAsia="Times New Roman" w:hAnsi="Times New Roman" w:cs="Times New Roman"/>
          <w:sz w:val="24"/>
          <w:szCs w:val="24"/>
        </w:rPr>
        <w:t xml:space="preserve"> безопасности окружающей среды.</w:t>
      </w:r>
    </w:p>
    <w:p w:rsidR="005C5A81" w:rsidRDefault="005C5A81"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Дегтярёв, К.С.</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Экономические и социально-географические аспекты развития возобновляемой энергетики в Республике Калмыкия</w:t>
      </w:r>
      <w:r>
        <w:rPr>
          <w:rFonts w:ascii="Times New Roman" w:eastAsia="Times New Roman" w:hAnsi="Times New Roman" w:cs="Times New Roman"/>
          <w:sz w:val="24"/>
          <w:szCs w:val="24"/>
        </w:rPr>
        <w:t xml:space="preserve"> / К. С. Дегтярёв, С. П. Кошкин, М. М. Сангаджиев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32-36: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7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Рассмотрены потенциал, опыт и перспективы развития энергетики на возобновляемых источниках энергии (ВИЭ) в Республике Калмыкия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преимущественно сельскохозяйственной территории с низки уровнем экономического развития, редким и неравномерно размещенным населением. Пути развития энергетики на основе ВИЭ анализируются в условиях отдельных районов. Проводится топология районов Калмыкии с точки зрения экономико-географических условий и потенциала ВИЭ. Обосновывается важность данного направления для социально-экономического развития региона. </w:t>
      </w:r>
    </w:p>
    <w:p w:rsidR="0047680E" w:rsidRDefault="0047680E"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 95-летнему юбилею оперативно-диспетчерского управления</w:t>
      </w:r>
      <w:r>
        <w:rPr>
          <w:rFonts w:ascii="Times New Roman" w:eastAsia="Times New Roman" w:hAnsi="Times New Roman" w:cs="Times New Roman"/>
          <w:sz w:val="24"/>
          <w:szCs w:val="24"/>
        </w:rPr>
        <w:t xml:space="preserve"> //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57-63: ил.</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Продолжение. Статья знакомит читателей с развитием новых технологий в оперативно-диспетчерском управлении в 1960-х годах и формировании Единой энергетической системы (ЕЭС) европейской части СССР. (Продолжение следует).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Королев, С.А.</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методы верификации программно-технических комплексов АСУТП АЭС на базе ТПТС</w:t>
      </w:r>
      <w:r>
        <w:rPr>
          <w:rFonts w:ascii="Times New Roman" w:eastAsia="Times New Roman" w:hAnsi="Times New Roman" w:cs="Times New Roman"/>
          <w:sz w:val="24"/>
          <w:szCs w:val="24"/>
        </w:rPr>
        <w:t xml:space="preserve"> / С. А. Королев, А. О. Толоконский, В. М. Рогов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9-15: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4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Предложены методы верификации программно-технических комплексов АСУТП АЭС на базе ТПТС (типовых программно-технических средств), а также разработано приложение для автоматизации процессов верификации прикладного программного обеспечения АСУТП АЭС на базе ТПТС. Предложенные методы верификации могут быть применены к программно-техническим комплексам различных изготовителей, а разработанное приложение "v_tool" успешно используется для проектов энергоблока № 4 Белоярской АЭС, энергоблока № 1 Нововоронежской АЭС и энергоблока № 3 Ростовской АЭС. Приведены описание роли верификации в процессе жизненного цикла АСУТП, функций положения "v_tool", результаты применения разработанных методов верификации. </w:t>
      </w:r>
    </w:p>
    <w:p w:rsidR="0047680E" w:rsidRDefault="0047680E" w:rsidP="00E463D3">
      <w:pPr>
        <w:spacing w:line="240" w:lineRule="auto"/>
        <w:jc w:val="both"/>
        <w:rPr>
          <w:rFonts w:ascii="Times New Roman" w:eastAsia="Times New Roman" w:hAnsi="Times New Roman" w:cs="Times New Roman"/>
          <w:b/>
          <w:bCs/>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Котин, И.С.</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Пути снижения вибрации паровых золотниковых клапанов</w:t>
      </w:r>
      <w:r>
        <w:rPr>
          <w:rFonts w:ascii="Times New Roman" w:eastAsia="Times New Roman" w:hAnsi="Times New Roman" w:cs="Times New Roman"/>
          <w:sz w:val="24"/>
          <w:szCs w:val="24"/>
        </w:rPr>
        <w:t xml:space="preserve"> / И. С. Котин,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А. В. Кирюхин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51-53: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Вибрация паровой арматуры оказывает определяющее влияние на долговечность конструкций и комфортность работы обслуживающего персонала. В статье рассмотрены возможности снижения вибрации золотниковых поворотных клапанов. Описан комплексный подход к поиску оптимального решения, от моделирования на ЭВМ до экспериментов на физической модели.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Кулешов, М.И.</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Модернизация конструкции топливосберегающего газового водонагревателя, направленная на повышение его технико-экономических и экологических показателей</w:t>
      </w:r>
      <w:r>
        <w:rPr>
          <w:rFonts w:ascii="Times New Roman" w:eastAsia="Times New Roman" w:hAnsi="Times New Roman" w:cs="Times New Roman"/>
          <w:sz w:val="24"/>
          <w:szCs w:val="24"/>
        </w:rPr>
        <w:t xml:space="preserve">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М. И. Кулешов, А. В. Губарев // Промышленная энергетика, 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24-28: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7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 анализ тепловых потерь в централизованных системах теплоснабжения с тепловым источником в котельной. Показана актуальность использования автономных систем для теплоснабжения потребителей различного назначения и установки в их тепловых источниках водонагревателей конденсационного типа. Представлена конструкция двухконтурного конденсационного топливосберегающего газового водонагревателя, разработанного сотрудниками Белгородского государственного технологического университета. Рассмотрена проблема выбросов оксидов азота в окружающую среду от теплогенерирующих установок. Отмечено, что при малом содержании азота в топливе основная доля в суммарном выбросе оксидов азота приходится на термические оксиды. Предложен вариант модернизации топливосберегающего газового водонагревателя, направленный на уменьшение образования термических оксидов азота в топке. </w:t>
      </w:r>
    </w:p>
    <w:p w:rsidR="0047680E" w:rsidRDefault="0047680E" w:rsidP="00E463D3">
      <w:pPr>
        <w:spacing w:line="240" w:lineRule="auto"/>
        <w:jc w:val="both"/>
        <w:rPr>
          <w:rFonts w:ascii="Times New Roman" w:eastAsia="Times New Roman" w:hAnsi="Times New Roman" w:cs="Times New Roman"/>
          <w:b/>
          <w:bCs/>
          <w:i/>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Манусов, В.З.</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Оптимизация размещения источников реактивной мощности с помощью алгоритма роя частиц с генетической адаптацией</w:t>
      </w:r>
      <w:r>
        <w:rPr>
          <w:rFonts w:ascii="Times New Roman" w:eastAsia="Times New Roman" w:hAnsi="Times New Roman" w:cs="Times New Roman"/>
          <w:sz w:val="24"/>
          <w:szCs w:val="24"/>
        </w:rPr>
        <w:t xml:space="preserve"> / В. З. Манусов, П. В. Матренин,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Е. С. Третьякова // Промышленная энергетика. – 2016. – № 8. – С. 34-40: ил. – Библиогр.: </w:t>
      </w:r>
      <w:r>
        <w:rPr>
          <w:rFonts w:ascii="Times New Roman" w:eastAsia="Times New Roman" w:hAnsi="Times New Roman" w:cs="Times New Roman"/>
          <w:sz w:val="24"/>
          <w:szCs w:val="24"/>
        </w:rPr>
        <w:br/>
        <w:t>13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работы – оптимизация распределения источников реактивной мощности в сетях электроснабжения предприятий напряжением до 1 кВ с целью уменьшения потерь активной мощности при минимальных затратах на источники реактивной мощности. Для решения оптимизационной задачи использован алгоритм роя частиц. Поскольку алгоритм роя частиц требует настройки эвристических параметров, проведена их эволюционная настройка (адаптация) для повышения эффективности. Адаптация реализована с использованием генетического алгоритма. Показано, что для рассматриваемой системы электроснабжения оптимизация позволяет на 20% уменьшить потери активной мощности. Установка оборудования для глубокой компенсации реактивной мощности окупается за два-три года. </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Методологические аспекты, определяющие предельное состояние силовых трансформаторов</w:t>
      </w:r>
      <w:r>
        <w:rPr>
          <w:rFonts w:ascii="Times New Roman" w:eastAsia="Times New Roman" w:hAnsi="Times New Roman" w:cs="Times New Roman"/>
          <w:sz w:val="24"/>
          <w:szCs w:val="24"/>
        </w:rPr>
        <w:t xml:space="preserve"> / В. Б. Комаров [и др.] // Энергетик. – 2016. – № 8. – С. 25-26: ил. – Библиогр.: 10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связанные с предельным состоянием силового трансформатора, при котором его дальнейшая эксплуатация недопустима или нецелесообразна, либо восстановление его работоспособности невозможно или нецелесообразно. При достижении предельного состояния силовых трансформаторов значительно возрастает риск их повреждения в результате развития опасных процессов, приводящих к возникновению внутренних коротких замыканий (КЗ) при воздействии токов КЗ, грозовых и коммутационных перенапряжений, под рабочим напряжением. При этом треть повреждений с внутренними КЗ сопровождаются взрывами и пожарами трансформаторов. Старение оборудования еще больше обостряет проблему. В настоящее время имеются методические подходы и накоплен достаточный опыт, позволяющие разработать научно обоснованную методологию оценки предельного состояния силовых трансформаторов. </w:t>
      </w:r>
    </w:p>
    <w:p w:rsidR="00447482" w:rsidRDefault="00447482" w:rsidP="00447482">
      <w:pPr>
        <w:spacing w:line="240" w:lineRule="auto"/>
        <w:ind w:left="720"/>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ООО "Альфа Энерго" – надёжный партнёр</w:t>
      </w:r>
      <w:r>
        <w:rPr>
          <w:rFonts w:ascii="Times New Roman" w:eastAsia="Times New Roman" w:hAnsi="Times New Roman" w:cs="Times New Roman"/>
          <w:sz w:val="24"/>
          <w:szCs w:val="24"/>
        </w:rPr>
        <w:t xml:space="preserve"> // Энергетик. – 2016. – № 8. – С. 56: ил.</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Представлено ООО "Альфа Энерго" – ведущий российский разработчик и производитель полимерных опорно-стержневых изоляторов марки ИОСПК класса напряжения 10 – 35 -110 – 150 – 220 кВ. Описаны преимущества полимерных изоляторов ОИСПК производства ООО "Альфа Энерго". </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уязвимости систем электроснабжения различной топологии к геомагнитным возмущениям</w:t>
      </w:r>
      <w:r>
        <w:rPr>
          <w:rFonts w:ascii="Times New Roman" w:eastAsia="Times New Roman" w:hAnsi="Times New Roman" w:cs="Times New Roman"/>
          <w:sz w:val="24"/>
          <w:szCs w:val="24"/>
        </w:rPr>
        <w:t xml:space="preserve"> / В. В. Вахнина [и др.] // Промышленная энергетика. – 2016. – № 8. – С. 16-23: ил. – Библиогр.: 15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распределение геоиндуцированных токов между нейтралями отдельных силовых трансформаторов в системах электроснабжения типовых топологий. Предложена пространственная модель, позволяющая учесть географическое расположение силовых трансформаторов при расчете геоиндуцированных токов. Показано, что наиболее тяжелым воздействиям геоиндуцированных токов при прочих равных условиях подвергаются силовые трансформаторы в системах электроснабжения кольцевой топологии. </w:t>
      </w:r>
    </w:p>
    <w:p w:rsidR="00447482" w:rsidRDefault="00447482"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Машин, В.А.</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Формирование и развитие культуры безопасности на атомных станциях</w:t>
      </w:r>
      <w:r>
        <w:rPr>
          <w:rFonts w:ascii="Times New Roman" w:eastAsia="Times New Roman" w:hAnsi="Times New Roman" w:cs="Times New Roman"/>
          <w:sz w:val="24"/>
          <w:szCs w:val="24"/>
        </w:rPr>
        <w:t xml:space="preserve">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В. А. Машин //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2-9: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9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Рассмотрен подход к формированию и развитию культуры безопасности на атомных станциях на основе требований, методов и принципов (ТМП), которые должны быть определены и поддерживаться в рамках процессов обеспечения безопасности интегрированной системы менеджмента организации. Формирование и развитие культуры безопасности представлено в виде процесса постоянного совершенствования выполнения ТМП с возможностью оценки отдельных его стадий: планирования, организации, выполнения и корреляции. В результате определения и поддержания выполнения всем персоналом ТМП безопасности обеспечивается, таким образом, формирование необходимых ценностей, отношений, представлений и убеждений, отвечающих сильной культуре безопасности. </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Микаэлян, Э.А.</w:t>
      </w:r>
    </w:p>
    <w:p w:rsidR="00447482" w:rsidRDefault="0047680E" w:rsidP="00205B5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газотурбинных агрегатов</w:t>
      </w:r>
      <w:r>
        <w:rPr>
          <w:rFonts w:ascii="Times New Roman" w:eastAsia="Times New Roman" w:hAnsi="Times New Roman" w:cs="Times New Roman"/>
          <w:sz w:val="24"/>
          <w:szCs w:val="24"/>
        </w:rPr>
        <w:t xml:space="preserve"> / Э. А. Микаэлян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20-24: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3 назв.</w:t>
      </w:r>
    </w:p>
    <w:p w:rsidR="004737A4" w:rsidRDefault="004737A4" w:rsidP="00205B52">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 ряд предложений по совершенствованию эксплуатационной пригодности основного оборудования компрессорных станций системы сбора и транспортирования газа по результатам анализа опыта эксплуатации и обслуживания энерготехнологического оборудования, газотурбинных газоперекачивающих агрегатов компрессорных станций промысловой системы сбора и магистрального транспортирования газа, изучения технических условий на изготовление и модернизацию газоперекачивающих агрегатов и особенностей их конструкций. </w:t>
      </w:r>
    </w:p>
    <w:p w:rsidR="0047680E" w:rsidRDefault="0047680E" w:rsidP="00E463D3">
      <w:pPr>
        <w:spacing w:line="240" w:lineRule="auto"/>
        <w:jc w:val="both"/>
        <w:rPr>
          <w:rFonts w:ascii="Times New Roman" w:eastAsia="Times New Roman" w:hAnsi="Times New Roman" w:cs="Times New Roman"/>
          <w:b/>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Микулич, Г.В.</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Проблемы нормативно-технической документации. Объективные показатели эффективности топливоиспользования и себестоимости на ТЭЦ</w:t>
      </w:r>
      <w:r>
        <w:rPr>
          <w:rFonts w:ascii="Times New Roman" w:eastAsia="Times New Roman" w:hAnsi="Times New Roman" w:cs="Times New Roman"/>
          <w:sz w:val="24"/>
          <w:szCs w:val="24"/>
        </w:rPr>
        <w:t xml:space="preserve"> / Г. В. Микулич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27-30: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11 назв.</w:t>
      </w:r>
    </w:p>
    <w:p w:rsidR="0047680E" w:rsidRDefault="0047680E" w:rsidP="00E463D3">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Морев, В.Г.</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Совместная оптимизация параметров установки ожижения природного газа и ТЭЦ</w:t>
      </w:r>
      <w:r>
        <w:rPr>
          <w:rFonts w:ascii="Times New Roman" w:eastAsia="Times New Roman" w:hAnsi="Times New Roman" w:cs="Times New Roman"/>
          <w:sz w:val="24"/>
          <w:szCs w:val="24"/>
        </w:rPr>
        <w:t xml:space="preserve"> / В. Г. Морев // Промышленная энергетика, 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29-37: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Библиогр.: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9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Представлены результаты совместной оптимизации состава оборудования комплекса сжиженного природного газа (СПГ) и ТЭЦ, выполненной по оригинальной методике. Комплекс предназначен для автономного газоснабжения потребителей и состоит из ожижителя, построенного по относительно простому детандерному или дроссельному циклу с предварительным охлаждением от абсорбционной водоаммиачной холодильной машины с эжектором, резервуара для хранения СПГ, а также ТЭЦ, обеспечивающей в режиме тригенерации комплекс электроэнергией и насыщенным паром абсорбционную машину. Показано, что за счет тригенерации удельный расход энергии снижается до уровня, приближающегося к достигнутому в сложных и дорогих каскадных циклах ожижения, что соответственно уменьшает капитальные вложения и эксплуатационные расходы. Отмечено, что главными факторами, влияющими на производительность ожижителя и объем резервуара, в первую очередь являются сезонная неравномерность потребления СПГ и степень теплоизоляции резервуара, которая имеет большое значение при использовании дроссельного цикла ожижения. Генерирующее оборудование ТЭЦ должно состоять из газотурбинных установок с низким КПД, что также снижает капиталовложения</w:t>
      </w:r>
    </w:p>
    <w:p w:rsidR="0047680E" w:rsidRDefault="0047680E" w:rsidP="00E463D3">
      <w:pPr>
        <w:spacing w:line="240" w:lineRule="auto"/>
        <w:jc w:val="both"/>
        <w:rPr>
          <w:rFonts w:ascii="Times New Roman" w:eastAsia="Times New Roman" w:hAnsi="Times New Roman" w:cs="Times New Roman"/>
          <w:b/>
          <w:bCs/>
          <w:i/>
          <w:sz w:val="24"/>
          <w:szCs w:val="24"/>
        </w:rPr>
      </w:pPr>
    </w:p>
    <w:p w:rsidR="004737A4" w:rsidRDefault="004737A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Никитин, М.Н.</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Реконструкция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системы подготовки генераторного газа с использованием центробежного скруббера</w:t>
      </w:r>
      <w:r w:rsidR="00AC03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М. Н. Никитин // Промышленная энергетика, 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6.</w:t>
      </w:r>
      <w:r w:rsidR="00AC03CA">
        <w:rPr>
          <w:rFonts w:ascii="Times New Roman" w:eastAsia="Times New Roman" w:hAnsi="Times New Roman" w:cs="Times New Roman"/>
          <w:sz w:val="24"/>
          <w:szCs w:val="24"/>
        </w:rPr>
        <w:t xml:space="preserve"> –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С. 13-18: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7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анализа работоспособности существовавшей системы подготовки генераторного газа. Дано описание внесенных изменений и конструктивных особенностей использованных решений. Рассмотрено влияние параметров твердого топлива на режим работы газогенераторного комплекса. </w:t>
      </w:r>
    </w:p>
    <w:p w:rsidR="0047680E" w:rsidRDefault="0047680E"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надёжности и продление ресурса роторов двухпоточных ЦСД мощных паровых турбин</w:t>
      </w:r>
      <w:r>
        <w:rPr>
          <w:rFonts w:ascii="Times New Roman" w:eastAsia="Times New Roman" w:hAnsi="Times New Roman" w:cs="Times New Roman"/>
          <w:sz w:val="24"/>
          <w:szCs w:val="24"/>
        </w:rPr>
        <w:t xml:space="preserve"> / И. В. Зайцев [и др.] //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С. 23-28: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4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Рассмотрена проблема продления ресурса большого парка паровых турбин, находящихся в эксплуатации. Упомянуты трудности проектирования систем охлаждения двухпоточных цилиндров среднего давления (ЦДС) мощных паровых турбин. Показана история создания разработанных в НПО ЦКТИ систем охлаждения двухпоточных цилиндров среднего давления, описаны конструкции систем принудительного охлаждения ротора с принципом работы и иллюстрациями. Приведены данные о внедрении систем охлаждения двухпоточных цилиндров среднего давления мощных паровых турбин, их эффективности при решении вопроса о продлении ресурса таких турбин. </w:t>
      </w:r>
    </w:p>
    <w:p w:rsidR="0047680E" w:rsidRDefault="0047680E"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Победные, юбилейные и памятные даты в энергетике России</w:t>
      </w:r>
      <w:r>
        <w:rPr>
          <w:rFonts w:ascii="Times New Roman" w:eastAsia="Times New Roman" w:hAnsi="Times New Roman" w:cs="Times New Roman"/>
          <w:sz w:val="24"/>
          <w:szCs w:val="24"/>
        </w:rPr>
        <w:t xml:space="preserve">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16.</w:t>
      </w:r>
    </w:p>
    <w:p w:rsidR="0047680E" w:rsidRDefault="0047680E"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надёжности пароструйных эжекторов турбоустановок ТЭС</w:t>
      </w:r>
      <w:r>
        <w:rPr>
          <w:rFonts w:ascii="Times New Roman" w:eastAsia="Times New Roman" w:hAnsi="Times New Roman" w:cs="Times New Roman"/>
          <w:sz w:val="24"/>
          <w:szCs w:val="24"/>
        </w:rPr>
        <w:t xml:space="preserve">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А. Ю. Рябчиков [и др.] //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53-56: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Библиогр.: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9 назв.</w:t>
      </w:r>
    </w:p>
    <w:p w:rsidR="003609F0" w:rsidRDefault="003609F0"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мероприятия, повышающие надежность пароструйных эжекторов, на основе опыта авторов по разработке и модернизации более чем 80 аппаратов. Проведен анализ статистической информации по отказам эжекторов, времени восстановления. Показано, что отказ эжектора в большинстве случаев приводит к останову турбоагрегата. Представлен перечень выявляемых дефектов. </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Причины эрозионного износа металла внутренней поверхности труб теплообменного оборудования</w:t>
      </w:r>
      <w:r>
        <w:rPr>
          <w:rFonts w:ascii="Times New Roman" w:eastAsia="Times New Roman" w:hAnsi="Times New Roman" w:cs="Times New Roman"/>
          <w:sz w:val="24"/>
          <w:szCs w:val="24"/>
        </w:rPr>
        <w:t xml:space="preserve"> / И. И. Беляков [и др.]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С. 43-48: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11 назв.</w:t>
      </w:r>
    </w:p>
    <w:p w:rsidR="003609F0" w:rsidRDefault="003609F0"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причины износа внутренней поверхности труб теплообменных аппаратов и котлов-утилизаторов парогазовых установок. Даны рекомендации по предотвращению износа металла гибов труб. </w:t>
      </w:r>
    </w:p>
    <w:p w:rsidR="0047680E" w:rsidRDefault="0047680E" w:rsidP="00E463D3">
      <w:pPr>
        <w:spacing w:line="240" w:lineRule="auto"/>
        <w:jc w:val="both"/>
        <w:rPr>
          <w:rFonts w:ascii="Times New Roman" w:eastAsia="Times New Roman" w:hAnsi="Times New Roman" w:cs="Times New Roman"/>
          <w:b/>
          <w:bCs/>
          <w:i/>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Попов, С.К.</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энергосберегающих тепловых схем топливных печей в среде Aspen Plus</w:t>
      </w:r>
      <w:r>
        <w:rPr>
          <w:rFonts w:ascii="Times New Roman" w:eastAsia="Times New Roman" w:hAnsi="Times New Roman" w:cs="Times New Roman"/>
          <w:sz w:val="24"/>
          <w:szCs w:val="24"/>
        </w:rPr>
        <w:t xml:space="preserve"> / С. К. Попов, А. Д. Ключников, И. Н. Свистунов // Промышленная энергетика, 2016. – № 6. – С. 38-42: ил. – Библиогр.: 11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моделирования в среде Aspen Plus энергосберегающих тепловых схем стекловаренной печи с термохимической рекуперацией (ТХР) </w:t>
      </w:r>
      <w:r>
        <w:rPr>
          <w:rFonts w:ascii="Times New Roman" w:eastAsia="Times New Roman" w:hAnsi="Times New Roman" w:cs="Times New Roman"/>
          <w:sz w:val="24"/>
          <w:szCs w:val="24"/>
        </w:rPr>
        <w:lastRenderedPageBreak/>
        <w:t xml:space="preserve">высокотемпературных газовых отходов на основе конверсии природного газа. Реализованы в Aspen Plus два варианта тепловых схем, различающиеся окислителем для процесса конверсии (водяной пар и уходящие газы). Проиллюстрирована технология модернизации в Aspen Plus теплообменников, входящих в состав тепловой схемы. Для каждой тепловой схемы с ТХР исследован процесс сажеобразования при конверсии природного газа. Показана предпочтительность схемы с конверсией на уходящих газах для подавления процесса сажеобразования. Выполнено моделирование в Aspen Plus тепловой схемы туннельной печи с использованием органического цикла Редкина (ОЦР) для утилизации теплового потока с воздухом, отбираемым из зоны охлаждения печи. Установлено, что вырабатываемая в ОЦР электрическая мощность соизмерима с электропотреблением всего предприятия. </w:t>
      </w:r>
    </w:p>
    <w:p w:rsidR="00447482" w:rsidRDefault="00447482" w:rsidP="00447482">
      <w:pPr>
        <w:spacing w:line="240" w:lineRule="auto"/>
        <w:jc w:val="both"/>
        <w:rPr>
          <w:rFonts w:ascii="Times New Roman" w:eastAsia="Times New Roman" w:hAnsi="Times New Roman" w:cs="Times New Roman"/>
          <w:b/>
          <w:bCs/>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Применение УШРТ с расщеплёнными обмотками для сокращения времени цикла ОАПВ линии 500 кВ</w:t>
      </w:r>
      <w:r>
        <w:rPr>
          <w:rFonts w:ascii="Times New Roman" w:eastAsia="Times New Roman" w:hAnsi="Times New Roman" w:cs="Times New Roman"/>
          <w:sz w:val="24"/>
          <w:szCs w:val="24"/>
        </w:rPr>
        <w:t xml:space="preserve"> / А. М. Матинян [и др.] // Электрические станции. – 2016. – № 8. – </w:t>
      </w:r>
      <w:r>
        <w:rPr>
          <w:rFonts w:ascii="Times New Roman" w:eastAsia="Times New Roman" w:hAnsi="Times New Roman" w:cs="Times New Roman"/>
          <w:sz w:val="24"/>
          <w:szCs w:val="24"/>
        </w:rPr>
        <w:br/>
        <w:t>С. 39-45: ил. – Библиогр.: 4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явление подпитки дуги замыкания при однофазном автоматическом повтором включения (ОАПВ) линии. Дано краткое описание конструкции управляемого тиристорами шунтирующего реактора (УШТР) 500 кВ с расщепленными вертикальными обмотками. Показана эффективность применения данного типа УШРТ для гашения дуги однофазного короткого замыкания на линии электропередачи и сокращения времени цикла ОАПВ. </w:t>
      </w:r>
    </w:p>
    <w:p w:rsidR="00447482" w:rsidRDefault="00447482" w:rsidP="00447482">
      <w:pPr>
        <w:spacing w:line="240" w:lineRule="auto"/>
        <w:jc w:val="both"/>
        <w:rPr>
          <w:rFonts w:ascii="Times New Roman" w:eastAsia="Times New Roman" w:hAnsi="Times New Roman" w:cs="Times New Roman"/>
          <w:b/>
          <w:bCs/>
          <w:i/>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Росляков, П.В.</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Разработка нормативного документа на проектирование и эксплуатацию систем непрерывного контроля и учета вредных выбросов ТЭС </w:t>
      </w:r>
      <w:r>
        <w:rPr>
          <w:rFonts w:ascii="Times New Roman" w:eastAsia="Times New Roman" w:hAnsi="Times New Roman" w:cs="Times New Roman"/>
          <w:sz w:val="24"/>
          <w:szCs w:val="24"/>
        </w:rPr>
        <w:t xml:space="preserve">/ П. В. Росляков,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О. Е. Кондратьева // Промышленная энергетика.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45-52: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Библиогр.: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13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Отмечено, что разработка и внедрение систем непрерывного контроля и учета вредных выбросов в атмосферу являются обязательными (в соответствии с новым природоохранным российским законодательством) для всех промышленных предприятий, оказывающих значительное негативное воздействие на окружающую среду. Указано на отсутствие нормативных документов, регламентирующих процессы проектирования и эксплуатации таких систем непрерывного мониторинга на ТЭС. Рассмотрены основные разделы, которые должны составить содержание нормативного документа (стандарта). Его разработка и принятие позволят унифицировать подходы к созданию систем непрерывного контроля и учета и существенно облегчат промышленным предприятиям их практическое внедрение. </w:t>
      </w:r>
    </w:p>
    <w:p w:rsidR="0047680E" w:rsidRDefault="0047680E"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Рыжий, И.А.</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Биогаз мусорных свалок</w:t>
      </w:r>
      <w:r w:rsidR="00AC03CA">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топливо для выработки электроэнергии</w:t>
      </w:r>
      <w:r>
        <w:rPr>
          <w:rFonts w:ascii="Times New Roman" w:eastAsia="Times New Roman" w:hAnsi="Times New Roman" w:cs="Times New Roman"/>
          <w:sz w:val="24"/>
          <w:szCs w:val="24"/>
        </w:rPr>
        <w:t xml:space="preserve"> / И. А. Рыжий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Промышленная энергетика.</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53-58: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Библиогр.: 2 назв. </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реализованные в США и Канаде проекты использования газа мусорных свалок для энергетических целей. Показано, что во многих случаях производство пара на базе свалочного газа оказывается наиболее перспективным вариантом. Газ собирается с помощью вертикальных скважин на территории свалки и по газопроводам из пластика высокой плотности поступает на ТЭЦ для отопительных и технологических нужд. Важным достоинством использования газа мусорных свалок для энергетических целей является снижение антропогенных выбросов метана, загрязняющих атмосферный воздух. </w:t>
      </w:r>
    </w:p>
    <w:p w:rsidR="0047680E" w:rsidRDefault="0047680E" w:rsidP="00E463D3">
      <w:pPr>
        <w:spacing w:line="240" w:lineRule="auto"/>
        <w:jc w:val="both"/>
        <w:rPr>
          <w:rFonts w:ascii="Times New Roman" w:eastAsia="Times New Roman" w:hAnsi="Times New Roman" w:cs="Times New Roman"/>
          <w:b/>
          <w:bCs/>
          <w:i/>
          <w:sz w:val="24"/>
          <w:szCs w:val="24"/>
        </w:rPr>
      </w:pPr>
    </w:p>
    <w:p w:rsidR="004737A4" w:rsidRDefault="004737A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Сивокобыленко, В.Ф.</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систем диагностики и релейной защиты электрооборудования собственных нужд электростанций на основе информационных технологий</w:t>
      </w:r>
      <w:r>
        <w:rPr>
          <w:rFonts w:ascii="Times New Roman" w:eastAsia="Times New Roman" w:hAnsi="Times New Roman" w:cs="Times New Roman"/>
          <w:sz w:val="24"/>
          <w:szCs w:val="24"/>
        </w:rPr>
        <w:t xml:space="preserve"> / В. Ф. Сивокобыленко, С. Н. Ткаченко //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46-52: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12 назв.</w:t>
      </w:r>
    </w:p>
    <w:p w:rsidR="00AC03CA" w:rsidRDefault="00AC03CA"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 подход к созданию на основе информационных технологий единой цифровой системы измерений текущих режимных параметров, используемых для мониторинга, диагностики и релейной защиты электрооборудования собственных нужд электростанций. Локальные микропроцессорные устройства первого уровня выполняют функции защиты отдельных присоединений и передают данные на второй уровень для реализации групповых защит, противоаварийной автоматики и обработки данных специальными программами мониторинга и диагностики. В рамках предложенной концепции рассмотрен способ исполнения одного из таких модулей для текущего контроля температуры нагрева короткозамкнутого ротора асинхронного двигателя. </w:t>
      </w:r>
    </w:p>
    <w:p w:rsidR="0047680E" w:rsidRDefault="0047680E" w:rsidP="00E463D3">
      <w:pPr>
        <w:spacing w:line="240" w:lineRule="auto"/>
        <w:jc w:val="both"/>
        <w:rPr>
          <w:rFonts w:ascii="Times New Roman" w:eastAsia="Times New Roman" w:hAnsi="Times New Roman" w:cs="Times New Roman"/>
          <w:b/>
          <w:bCs/>
          <w:i/>
          <w:sz w:val="24"/>
          <w:szCs w:val="24"/>
        </w:rPr>
      </w:pPr>
    </w:p>
    <w:p w:rsidR="00205B52" w:rsidRDefault="0047680E" w:rsidP="00205B5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Ступенчатое сжигание углей с системой нижнего дутья</w:t>
      </w:r>
      <w:r>
        <w:rPr>
          <w:rFonts w:ascii="Times New Roman" w:eastAsia="Times New Roman" w:hAnsi="Times New Roman" w:cs="Times New Roman"/>
          <w:sz w:val="24"/>
          <w:szCs w:val="24"/>
        </w:rPr>
        <w:t xml:space="preserve"> / А. Н. Алехнович [и др.]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 Электрические станции.</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17-22: ил.</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Библиогр.: 6 назв.</w:t>
      </w:r>
    </w:p>
    <w:p w:rsidR="004737A4" w:rsidRDefault="004737A4" w:rsidP="00205B52">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топки с нижним дутьём получила широкое распространение на отечественных котлах для снижения оксидов азота, шлакования и уменьшения провала топлива в холодную воронку. Результаты расчётов по зональному методу и пакетам программ трехмерной динамики показали заметное снижение усредненной в плане температуры в холодной воронке и небольшой рост температуры газов на выходе из топки. При испытаниях котлов, в отличии от расчетов, получены неоднозначные результаты по этим температурам. Анализ с использованием программ трехмерной динамики показал, что при организации системы нижнего дутья происходит заметная перестройка газодинамики нижней части топки. В результате может формироваться и усиливаться опускное движение в нисходящих ветвях вихрей, что приводит к росту локальных температур. Конфигурация и глубина перестройки зависят от исходной газодинамики топки и особенностей системы нижнего дутья. </w:t>
      </w:r>
    </w:p>
    <w:p w:rsidR="0047680E" w:rsidRDefault="0047680E" w:rsidP="00E463D3">
      <w:pPr>
        <w:spacing w:line="240" w:lineRule="auto"/>
        <w:jc w:val="both"/>
        <w:rPr>
          <w:rFonts w:ascii="Times New Roman" w:eastAsia="Times New Roman" w:hAnsi="Times New Roman" w:cs="Times New Roman"/>
          <w:b/>
          <w:bCs/>
          <w:i/>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Харечко, Ю.В.</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 ошибках в новом стандарте МЭК 61140</w:t>
      </w:r>
      <w:r>
        <w:rPr>
          <w:rFonts w:ascii="Times New Roman" w:eastAsia="Times New Roman" w:hAnsi="Times New Roman" w:cs="Times New Roman"/>
          <w:sz w:val="24"/>
          <w:szCs w:val="24"/>
        </w:rPr>
        <w:t xml:space="preserve"> / Ю. В. Харечко // Промышленная энергетика. – 2016. – № 8. – С. 41-44. – Библиогр.: 15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краткая информация об уточнении терминологии и о некоторых ошибках в новом стандарте МЭК 61140-2016 "Защита от поражения электрическим током. Общие положения для установки и оборудования". </w:t>
      </w:r>
    </w:p>
    <w:p w:rsidR="00447482" w:rsidRDefault="00447482" w:rsidP="00447482">
      <w:pPr>
        <w:spacing w:line="240" w:lineRule="auto"/>
        <w:jc w:val="both"/>
        <w:rPr>
          <w:rFonts w:ascii="Times New Roman" w:eastAsia="Times New Roman" w:hAnsi="Times New Roman" w:cs="Times New Roman"/>
          <w:b/>
          <w:bCs/>
          <w:i/>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Чижма, С.Н.</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Алгоритмическое обеспечение счетчиков электроэнергии постоянного тока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С. Н. Чижма, А. Г. Лаврухин, Ю. А. Безруков // Промышленная энергетика. – 2016. – № 8. – С. 24-28: ил. – Библиогр.: 7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Pr="009E7112" w:rsidRDefault="00447482" w:rsidP="00447482">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Представлено несколько возможных алгоритмов для счетчиков электроэнергии постоянного тока, работающих при пульсирующих напряжениях и токах. Выполнены моделирование и сравнительный анализ алгоритмов, приведены рекомендации для выбора оптимального алгоритма. </w:t>
      </w:r>
    </w:p>
    <w:p w:rsidR="00447482" w:rsidRDefault="00447482" w:rsidP="00E463D3">
      <w:pPr>
        <w:spacing w:line="240" w:lineRule="auto"/>
        <w:jc w:val="both"/>
        <w:rPr>
          <w:rFonts w:ascii="Times New Roman" w:eastAsia="Times New Roman" w:hAnsi="Times New Roman" w:cs="Times New Roman"/>
          <w:b/>
          <w:bCs/>
          <w:i/>
          <w:sz w:val="24"/>
          <w:szCs w:val="24"/>
        </w:rPr>
      </w:pPr>
    </w:p>
    <w:p w:rsidR="004737A4" w:rsidRDefault="004737A4">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47680E" w:rsidRDefault="0047680E" w:rsidP="00E463D3">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Шавров, Э.Н.</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Отклик на статью Г.В. Микулича</w:t>
      </w:r>
      <w:r>
        <w:rPr>
          <w:rFonts w:ascii="Times New Roman" w:eastAsia="Times New Roman" w:hAnsi="Times New Roman" w:cs="Times New Roman"/>
          <w:sz w:val="24"/>
          <w:szCs w:val="24"/>
        </w:rPr>
        <w:t xml:space="preserve"> / Э. Н. Шавров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С. 30-31.</w:t>
      </w:r>
    </w:p>
    <w:p w:rsidR="00447482" w:rsidRDefault="00447482" w:rsidP="00447482">
      <w:pPr>
        <w:spacing w:line="240" w:lineRule="auto"/>
        <w:jc w:val="both"/>
        <w:rPr>
          <w:rFonts w:ascii="Times New Roman" w:eastAsia="Times New Roman" w:hAnsi="Times New Roman" w:cs="Times New Roman"/>
          <w:b/>
          <w:bCs/>
          <w:i/>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Шварц, Г.К.</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 понятии "ток утечки"</w:t>
      </w:r>
      <w:r>
        <w:rPr>
          <w:rFonts w:ascii="Times New Roman" w:eastAsia="Times New Roman" w:hAnsi="Times New Roman" w:cs="Times New Roman"/>
          <w:sz w:val="24"/>
          <w:szCs w:val="24"/>
        </w:rPr>
        <w:t xml:space="preserve"> / Г. К. Шварц // Промышленная энергетика, 2016. – № 6. – </w:t>
      </w:r>
      <w:r>
        <w:rPr>
          <w:rFonts w:ascii="Times New Roman" w:eastAsia="Times New Roman" w:hAnsi="Times New Roman" w:cs="Times New Roman"/>
          <w:sz w:val="24"/>
          <w:szCs w:val="24"/>
        </w:rPr>
        <w:br/>
        <w:t>С. 55-62. – Библиогр.: 7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определение термина "ток утечки", а также определения других терминов ("ток повреждения", "ток прикосновения", "ток защитного проводника"), входящих в систему терминов, характеризующих низковольтные электроустановки. Даны стандартизованные на межгосударственном уровне определения этих и других терминов, описаны системы понятий, касающиеся исправного и неисправного состояний оборудования, методов измерений тока утечки. Показано, как системный принцип упорядочения, предусматривающий анализ и оценку термина "ток утечки", позволяет выявить его соотношения с понятиями других терминов, входящих в эту систему. Обращено внимание на новый стандарт ГОСТ </w:t>
      </w:r>
      <w:r>
        <w:rPr>
          <w:rFonts w:ascii="Times New Roman" w:eastAsia="Times New Roman" w:hAnsi="Times New Roman" w:cs="Times New Roman"/>
          <w:sz w:val="24"/>
          <w:szCs w:val="24"/>
        </w:rPr>
        <w:br/>
        <w:t xml:space="preserve">30331.1-2013, в котором уточненные определения ряда терминов не соответствуют общепринятым представлениям. </w:t>
      </w:r>
    </w:p>
    <w:p w:rsidR="00447482" w:rsidRDefault="00447482" w:rsidP="00447482">
      <w:pPr>
        <w:spacing w:line="240" w:lineRule="auto"/>
        <w:jc w:val="both"/>
        <w:rPr>
          <w:rFonts w:ascii="Times New Roman" w:eastAsia="Times New Roman" w:hAnsi="Times New Roman" w:cs="Times New Roman"/>
          <w:b/>
          <w:bCs/>
          <w:sz w:val="24"/>
          <w:szCs w:val="24"/>
        </w:rPr>
      </w:pPr>
    </w:p>
    <w:p w:rsidR="00447482" w:rsidRDefault="00447482" w:rsidP="00447482">
      <w:pPr>
        <w:spacing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Шкуропат, И.А.</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Управляемые шунтирующие реакторы трансформаторного типа с пониженным содержанием высших гармоник тока</w:t>
      </w:r>
      <w:r>
        <w:rPr>
          <w:rFonts w:ascii="Times New Roman" w:eastAsia="Times New Roman" w:hAnsi="Times New Roman" w:cs="Times New Roman"/>
          <w:sz w:val="24"/>
          <w:szCs w:val="24"/>
        </w:rPr>
        <w:t xml:space="preserve"> / И. А. Шкуропат // Промышленная энергетика, 2016. – № 6. – С. 43-47: ил. – Библиогр.: 4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 способ уменьшения содержания высших гармоник тока в тиристорно-управляемом реакторе трансформаторного типа с помощью LC-фильтров и ступенчатого тиристорного регулирования рабочего тока. При этом за счет уменьшения числа ступеней регулирования упрощается конструкция реактора. </w:t>
      </w:r>
    </w:p>
    <w:p w:rsidR="00447482" w:rsidRDefault="00447482" w:rsidP="00447482">
      <w:pPr>
        <w:spacing w:line="240" w:lineRule="auto"/>
        <w:jc w:val="both"/>
        <w:rPr>
          <w:rFonts w:ascii="Times New Roman" w:eastAsia="Times New Roman" w:hAnsi="Times New Roman" w:cs="Times New Roman"/>
          <w:b/>
          <w:bCs/>
          <w:sz w:val="24"/>
          <w:szCs w:val="24"/>
        </w:rPr>
      </w:pPr>
    </w:p>
    <w:p w:rsidR="00447482" w:rsidRPr="007F57A9" w:rsidRDefault="00447482" w:rsidP="00447482">
      <w:pPr>
        <w:spacing w:line="240" w:lineRule="auto"/>
        <w:jc w:val="both"/>
        <w:rPr>
          <w:rFonts w:ascii="Times New Roman" w:eastAsia="Times New Roman" w:hAnsi="Times New Roman" w:cs="Times New Roman"/>
          <w:b/>
          <w:bCs/>
          <w:i/>
          <w:sz w:val="24"/>
          <w:szCs w:val="24"/>
        </w:rPr>
      </w:pPr>
      <w:r w:rsidRPr="007F57A9">
        <w:rPr>
          <w:rFonts w:ascii="Times New Roman" w:eastAsia="Times New Roman" w:hAnsi="Times New Roman" w:cs="Times New Roman"/>
          <w:b/>
          <w:bCs/>
          <w:i/>
          <w:sz w:val="24"/>
          <w:szCs w:val="24"/>
        </w:rPr>
        <w:t>Ярмаркин, М.К.</w:t>
      </w: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Линейные полимерные изоляторы ВЛ: отключения по неустановленным причинам</w:t>
      </w:r>
      <w:r>
        <w:rPr>
          <w:rFonts w:ascii="Times New Roman" w:eastAsia="Times New Roman" w:hAnsi="Times New Roman" w:cs="Times New Roman"/>
          <w:sz w:val="24"/>
          <w:szCs w:val="24"/>
        </w:rPr>
        <w:t xml:space="preserve"> / М. К. Ярмаркин // Энергетик. – 2016. – № 8. – С. 49-51: ил. – Библиогр.: 3 назв.</w:t>
      </w:r>
    </w:p>
    <w:p w:rsidR="00447482" w:rsidRDefault="00447482" w:rsidP="00447482">
      <w:pPr>
        <w:spacing w:line="240" w:lineRule="auto"/>
        <w:ind w:firstLine="708"/>
        <w:jc w:val="both"/>
        <w:rPr>
          <w:rFonts w:ascii="Times New Roman" w:eastAsia="Times New Roman" w:hAnsi="Times New Roman" w:cs="Times New Roman"/>
          <w:sz w:val="24"/>
          <w:szCs w:val="24"/>
        </w:rPr>
      </w:pPr>
    </w:p>
    <w:p w:rsidR="00447482" w:rsidRDefault="00447482" w:rsidP="0044748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характерные отключения по неустановленным причинам (ОНП) воздушных линий (ВЛ) электропередачи классов напряжения 110-400 кВ. Экспериментальные исследования указывают на ряд одинаковых в этом случае обстоятельств: отключения происходят в летние месяцы, в утренние часы, при высокой влажности воздуха, отсутствии ветра и перенапряжений. В наибольшей степени ОНП подвержены ВЛ с композитными изоляторами, причем возможность отключения не имеет видимой связи с длиной изолятора или степенью его загрязнения. Попытки установить причину ОНП до настоящего времени остаются безуспешными. В статье предложено объяснение возникновения ОНП, связанное с оседанием паутины на линейной изоляции в период массового расселения пауков. Оседание паутины на изоляторах с последующим увлажнением росой создает предпосылки к перекрытию изоляции с успешным АПВ, поскольку паутина при перекрытии полностью уничтожается. </w:t>
      </w:r>
    </w:p>
    <w:p w:rsidR="004737A4" w:rsidRDefault="004737A4" w:rsidP="00447482">
      <w:pPr>
        <w:spacing w:line="240" w:lineRule="auto"/>
        <w:ind w:firstLine="708"/>
        <w:jc w:val="both"/>
        <w:rPr>
          <w:sz w:val="28"/>
        </w:rPr>
      </w:pPr>
    </w:p>
    <w:p w:rsidR="0047680E" w:rsidRDefault="0047680E" w:rsidP="00E463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ВЫСТАВКИ.</w:t>
      </w:r>
      <w:r w:rsidR="00AC03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КОНФЕРЕНЦИИ.</w:t>
      </w:r>
      <w:r w:rsidR="00AC03CA">
        <w:rPr>
          <w:rFonts w:ascii="Times New Roman" w:eastAsia="Times New Roman" w:hAnsi="Times New Roman" w:cs="Times New Roman"/>
          <w:b/>
          <w:sz w:val="24"/>
          <w:szCs w:val="24"/>
        </w:rPr>
        <w:t xml:space="preserve"> ФОРУМЫ</w:t>
      </w:r>
    </w:p>
    <w:p w:rsidR="0047680E" w:rsidRDefault="0047680E" w:rsidP="00E463D3">
      <w:pPr>
        <w:spacing w:line="240" w:lineRule="auto"/>
        <w:jc w:val="both"/>
        <w:rPr>
          <w:rFonts w:ascii="Times New Roman" w:eastAsia="Times New Roman" w:hAnsi="Times New Roman" w:cs="Times New Roman"/>
          <w:b/>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Встреча Ассоциации NORDMETTALL и Объединения РаЭл: международный обмен опытом и подписание Протокола о намерениях</w:t>
      </w:r>
      <w:r>
        <w:rPr>
          <w:rFonts w:ascii="Times New Roman" w:eastAsia="Times New Roman" w:hAnsi="Times New Roman" w:cs="Times New Roman"/>
          <w:sz w:val="24"/>
          <w:szCs w:val="24"/>
        </w:rPr>
        <w:t xml:space="preserve"> // Энергетик.</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8.</w:t>
      </w:r>
      <w:r w:rsidR="00AC03CA">
        <w:rPr>
          <w:rFonts w:ascii="Times New Roman" w:eastAsia="Times New Roman" w:hAnsi="Times New Roman" w:cs="Times New Roman"/>
          <w:sz w:val="24"/>
          <w:szCs w:val="24"/>
        </w:rPr>
        <w:t xml:space="preserve"> – </w:t>
      </w:r>
      <w:r w:rsidR="00910AD1">
        <w:rPr>
          <w:rFonts w:ascii="Times New Roman" w:eastAsia="Times New Roman" w:hAnsi="Times New Roman" w:cs="Times New Roman"/>
          <w:sz w:val="24"/>
          <w:szCs w:val="24"/>
        </w:rPr>
        <w:br/>
      </w:r>
      <w:r>
        <w:rPr>
          <w:rFonts w:ascii="Times New Roman" w:eastAsia="Times New Roman" w:hAnsi="Times New Roman" w:cs="Times New Roman"/>
          <w:sz w:val="24"/>
          <w:szCs w:val="24"/>
        </w:rPr>
        <w:t>С. 54-55: ил.</w:t>
      </w: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Итоги выставки "Иннопром-2016"</w:t>
      </w:r>
      <w:r>
        <w:rPr>
          <w:rFonts w:ascii="Times New Roman" w:eastAsia="Times New Roman" w:hAnsi="Times New Roman" w:cs="Times New Roman"/>
          <w:sz w:val="24"/>
          <w:szCs w:val="24"/>
        </w:rPr>
        <w:t xml:space="preserve">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47-49.</w:t>
      </w:r>
    </w:p>
    <w:p w:rsidR="0047680E" w:rsidRDefault="0047680E" w:rsidP="00E463D3">
      <w:pPr>
        <w:spacing w:line="240" w:lineRule="auto"/>
        <w:ind w:firstLine="708"/>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Мероприятия во II п/годии 2016</w:t>
      </w:r>
      <w:r w:rsidR="00AC03CA">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начале 2017 гг. </w:t>
      </w:r>
      <w:r>
        <w:rPr>
          <w:rFonts w:ascii="Times New Roman" w:eastAsia="Times New Roman" w:hAnsi="Times New Roman" w:cs="Times New Roman"/>
          <w:sz w:val="24"/>
          <w:szCs w:val="24"/>
        </w:rPr>
        <w:t>// Металлургия</w:t>
      </w:r>
    </w:p>
    <w:p w:rsidR="0047680E" w:rsidRDefault="0047680E" w:rsidP="00E463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51-52.</w:t>
      </w:r>
    </w:p>
    <w:p w:rsidR="0047680E" w:rsidRDefault="0047680E" w:rsidP="00E463D3">
      <w:pPr>
        <w:spacing w:line="240" w:lineRule="auto"/>
        <w:jc w:val="both"/>
        <w:rPr>
          <w:rFonts w:ascii="Times New Roman" w:eastAsia="Times New Roman" w:hAnsi="Times New Roman" w:cs="Times New Roman"/>
          <w:sz w:val="24"/>
          <w:szCs w:val="24"/>
        </w:rPr>
      </w:pPr>
    </w:p>
    <w:p w:rsidR="0047680E" w:rsidRDefault="0047680E" w:rsidP="00E463D3">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Научно-технические конференции ФГУП "ВИАМ" ГНЦ РФ</w:t>
      </w:r>
      <w:r>
        <w:rPr>
          <w:rFonts w:ascii="Times New Roman" w:eastAsia="Times New Roman" w:hAnsi="Times New Roman" w:cs="Times New Roman"/>
          <w:sz w:val="24"/>
          <w:szCs w:val="24"/>
        </w:rPr>
        <w:t xml:space="preserve"> // Металлургия машиностроения..</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2016.</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5.</w:t>
      </w:r>
      <w:r w:rsidR="00AC03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 49-50.</w:t>
      </w:r>
    </w:p>
    <w:p w:rsidR="0047680E" w:rsidRDefault="0047680E" w:rsidP="00E463D3">
      <w:pPr>
        <w:spacing w:line="240" w:lineRule="auto"/>
        <w:jc w:val="both"/>
        <w:rPr>
          <w:rFonts w:ascii="Times New Roman" w:hAnsi="Times New Roman" w:cs="Times New Roman"/>
          <w:sz w:val="24"/>
          <w:szCs w:val="24"/>
        </w:rPr>
      </w:pPr>
    </w:p>
    <w:sectPr w:rsidR="0047680E"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F5" w:rsidRDefault="004F08F5" w:rsidP="00A1782E">
      <w:r>
        <w:separator/>
      </w:r>
    </w:p>
  </w:endnote>
  <w:endnote w:type="continuationSeparator" w:id="1">
    <w:p w:rsidR="004F08F5" w:rsidRDefault="004F08F5"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0B36D0" w:rsidRDefault="00501DFF">
        <w:pPr>
          <w:pStyle w:val="aa"/>
          <w:jc w:val="center"/>
        </w:pPr>
        <w:r w:rsidRPr="003E4B59">
          <w:rPr>
            <w:rFonts w:ascii="Times New Roman" w:hAnsi="Times New Roman" w:cs="Times New Roman"/>
          </w:rPr>
          <w:fldChar w:fldCharType="begin"/>
        </w:r>
        <w:r w:rsidR="000B36D0"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EC05C9">
          <w:rPr>
            <w:rFonts w:ascii="Times New Roman" w:hAnsi="Times New Roman" w:cs="Times New Roman"/>
            <w:noProof/>
          </w:rPr>
          <w:t>3</w:t>
        </w:r>
        <w:r w:rsidRPr="003E4B59">
          <w:rPr>
            <w:rFonts w:ascii="Times New Roman" w:hAnsi="Times New Roman" w:cs="Times New Roman"/>
          </w:rPr>
          <w:fldChar w:fldCharType="end"/>
        </w:r>
      </w:p>
    </w:sdtContent>
  </w:sdt>
  <w:p w:rsidR="000B36D0" w:rsidRDefault="000B36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F5" w:rsidRDefault="004F08F5" w:rsidP="00A1782E">
      <w:r>
        <w:separator/>
      </w:r>
    </w:p>
  </w:footnote>
  <w:footnote w:type="continuationSeparator" w:id="1">
    <w:p w:rsidR="004F08F5" w:rsidRDefault="004F08F5"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813DA"/>
    <w:rsid w:val="00081421"/>
    <w:rsid w:val="000B36D0"/>
    <w:rsid w:val="000B5AEE"/>
    <w:rsid w:val="000D2732"/>
    <w:rsid w:val="00104C60"/>
    <w:rsid w:val="00112B93"/>
    <w:rsid w:val="00130A54"/>
    <w:rsid w:val="001367C7"/>
    <w:rsid w:val="00160071"/>
    <w:rsid w:val="00171C18"/>
    <w:rsid w:val="00176161"/>
    <w:rsid w:val="001A6624"/>
    <w:rsid w:val="001A7E7F"/>
    <w:rsid w:val="001B0AEE"/>
    <w:rsid w:val="001B4DD6"/>
    <w:rsid w:val="001C0FED"/>
    <w:rsid w:val="001D6C68"/>
    <w:rsid w:val="00202EFD"/>
    <w:rsid w:val="00205B52"/>
    <w:rsid w:val="00231D1F"/>
    <w:rsid w:val="00243117"/>
    <w:rsid w:val="002500D0"/>
    <w:rsid w:val="00252609"/>
    <w:rsid w:val="00272ED7"/>
    <w:rsid w:val="0029282E"/>
    <w:rsid w:val="002A0388"/>
    <w:rsid w:val="002D6EEC"/>
    <w:rsid w:val="002F3B9A"/>
    <w:rsid w:val="002F487C"/>
    <w:rsid w:val="002F686E"/>
    <w:rsid w:val="0031431E"/>
    <w:rsid w:val="003609F0"/>
    <w:rsid w:val="00363D09"/>
    <w:rsid w:val="00371A6D"/>
    <w:rsid w:val="003B3742"/>
    <w:rsid w:val="003C7EEE"/>
    <w:rsid w:val="003D0275"/>
    <w:rsid w:val="003E4B59"/>
    <w:rsid w:val="003F25B9"/>
    <w:rsid w:val="003F2933"/>
    <w:rsid w:val="004016B0"/>
    <w:rsid w:val="0041682D"/>
    <w:rsid w:val="004373BC"/>
    <w:rsid w:val="00445F52"/>
    <w:rsid w:val="00447482"/>
    <w:rsid w:val="004737A4"/>
    <w:rsid w:val="0047680E"/>
    <w:rsid w:val="00494A0B"/>
    <w:rsid w:val="00495C72"/>
    <w:rsid w:val="004D1CA9"/>
    <w:rsid w:val="004D7EEE"/>
    <w:rsid w:val="004F08F5"/>
    <w:rsid w:val="00501BEA"/>
    <w:rsid w:val="00501DFF"/>
    <w:rsid w:val="00540ED8"/>
    <w:rsid w:val="005442D5"/>
    <w:rsid w:val="00547501"/>
    <w:rsid w:val="0055458B"/>
    <w:rsid w:val="005547B5"/>
    <w:rsid w:val="005672F9"/>
    <w:rsid w:val="005822A3"/>
    <w:rsid w:val="00582D10"/>
    <w:rsid w:val="005B18EA"/>
    <w:rsid w:val="005C5A81"/>
    <w:rsid w:val="005D1AA4"/>
    <w:rsid w:val="00602D15"/>
    <w:rsid w:val="0061729B"/>
    <w:rsid w:val="00626818"/>
    <w:rsid w:val="00636F3E"/>
    <w:rsid w:val="00646304"/>
    <w:rsid w:val="0066071A"/>
    <w:rsid w:val="00677605"/>
    <w:rsid w:val="00680B66"/>
    <w:rsid w:val="006830A0"/>
    <w:rsid w:val="006935B5"/>
    <w:rsid w:val="006C7406"/>
    <w:rsid w:val="006F651D"/>
    <w:rsid w:val="00702B23"/>
    <w:rsid w:val="00706257"/>
    <w:rsid w:val="007100EA"/>
    <w:rsid w:val="00712471"/>
    <w:rsid w:val="007317F2"/>
    <w:rsid w:val="007422C3"/>
    <w:rsid w:val="00762FDE"/>
    <w:rsid w:val="0076570B"/>
    <w:rsid w:val="00774E43"/>
    <w:rsid w:val="00794281"/>
    <w:rsid w:val="007D13CF"/>
    <w:rsid w:val="007D7E0D"/>
    <w:rsid w:val="007F466A"/>
    <w:rsid w:val="007F57A9"/>
    <w:rsid w:val="00812EE0"/>
    <w:rsid w:val="00836969"/>
    <w:rsid w:val="0084022D"/>
    <w:rsid w:val="00871892"/>
    <w:rsid w:val="008A400F"/>
    <w:rsid w:val="008C30E0"/>
    <w:rsid w:val="008C4A97"/>
    <w:rsid w:val="008C5DF5"/>
    <w:rsid w:val="008C7FE7"/>
    <w:rsid w:val="008E10C5"/>
    <w:rsid w:val="00910AD1"/>
    <w:rsid w:val="009270C5"/>
    <w:rsid w:val="00942F01"/>
    <w:rsid w:val="00963FAD"/>
    <w:rsid w:val="00965734"/>
    <w:rsid w:val="00972D4B"/>
    <w:rsid w:val="0097622F"/>
    <w:rsid w:val="00997E1A"/>
    <w:rsid w:val="009B110F"/>
    <w:rsid w:val="009B159B"/>
    <w:rsid w:val="009B263F"/>
    <w:rsid w:val="009E7112"/>
    <w:rsid w:val="009F081E"/>
    <w:rsid w:val="009F1108"/>
    <w:rsid w:val="00A10107"/>
    <w:rsid w:val="00A11EF9"/>
    <w:rsid w:val="00A13BF3"/>
    <w:rsid w:val="00A1782E"/>
    <w:rsid w:val="00A24588"/>
    <w:rsid w:val="00A343C8"/>
    <w:rsid w:val="00A610A0"/>
    <w:rsid w:val="00A72730"/>
    <w:rsid w:val="00AA2FEF"/>
    <w:rsid w:val="00AC03CA"/>
    <w:rsid w:val="00AC3289"/>
    <w:rsid w:val="00AD4B33"/>
    <w:rsid w:val="00AE1C35"/>
    <w:rsid w:val="00AE40FB"/>
    <w:rsid w:val="00AE5360"/>
    <w:rsid w:val="00AE786F"/>
    <w:rsid w:val="00B6004D"/>
    <w:rsid w:val="00B60D08"/>
    <w:rsid w:val="00B81166"/>
    <w:rsid w:val="00B91B76"/>
    <w:rsid w:val="00BA67BA"/>
    <w:rsid w:val="00C12EF8"/>
    <w:rsid w:val="00C25479"/>
    <w:rsid w:val="00C30A56"/>
    <w:rsid w:val="00C42C47"/>
    <w:rsid w:val="00C42D0A"/>
    <w:rsid w:val="00C53242"/>
    <w:rsid w:val="00C55E30"/>
    <w:rsid w:val="00C642E5"/>
    <w:rsid w:val="00C6484E"/>
    <w:rsid w:val="00C64AC8"/>
    <w:rsid w:val="00C70A32"/>
    <w:rsid w:val="00C7281B"/>
    <w:rsid w:val="00CC7ADF"/>
    <w:rsid w:val="00CD20E2"/>
    <w:rsid w:val="00CD402F"/>
    <w:rsid w:val="00CF35C3"/>
    <w:rsid w:val="00CF4980"/>
    <w:rsid w:val="00D02028"/>
    <w:rsid w:val="00D307F7"/>
    <w:rsid w:val="00D6558A"/>
    <w:rsid w:val="00D85ACD"/>
    <w:rsid w:val="00D95F4C"/>
    <w:rsid w:val="00DB64F5"/>
    <w:rsid w:val="00DF0144"/>
    <w:rsid w:val="00DF34C9"/>
    <w:rsid w:val="00E463D3"/>
    <w:rsid w:val="00E46E87"/>
    <w:rsid w:val="00E62C06"/>
    <w:rsid w:val="00E648F7"/>
    <w:rsid w:val="00E70BA6"/>
    <w:rsid w:val="00EB752E"/>
    <w:rsid w:val="00EC0526"/>
    <w:rsid w:val="00EC05C9"/>
    <w:rsid w:val="00EE3B78"/>
    <w:rsid w:val="00EF25C0"/>
    <w:rsid w:val="00F05ACA"/>
    <w:rsid w:val="00F13B16"/>
    <w:rsid w:val="00F16EBC"/>
    <w:rsid w:val="00F216B1"/>
    <w:rsid w:val="00F24465"/>
    <w:rsid w:val="00F37538"/>
    <w:rsid w:val="00F41F15"/>
    <w:rsid w:val="00F54434"/>
    <w:rsid w:val="00F5620E"/>
    <w:rsid w:val="00F57253"/>
    <w:rsid w:val="00F96AB5"/>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0066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17</cp:revision>
  <cp:lastPrinted>2016-11-08T13:27:00Z</cp:lastPrinted>
  <dcterms:created xsi:type="dcterms:W3CDTF">2016-10-31T13:38:00Z</dcterms:created>
  <dcterms:modified xsi:type="dcterms:W3CDTF">2016-11-09T06:34:00Z</dcterms:modified>
</cp:coreProperties>
</file>