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8D14B2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DA6D17">
        <w:rPr>
          <w:rFonts w:ascii="Times New Roman" w:hAnsi="Times New Roman" w:cs="Times New Roman"/>
          <w:b/>
          <w:sz w:val="52"/>
          <w:szCs w:val="52"/>
        </w:rPr>
        <w:t>37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DA6D17">
        <w:rPr>
          <w:rFonts w:ascii="Times New Roman" w:hAnsi="Times New Roman" w:cs="Times New Roman"/>
          <w:b/>
          <w:sz w:val="52"/>
          <w:szCs w:val="52"/>
        </w:rPr>
        <w:t>16</w:t>
      </w:r>
      <w:r w:rsidR="00B40AE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A53DF">
        <w:rPr>
          <w:rFonts w:ascii="Times New Roman" w:hAnsi="Times New Roman" w:cs="Times New Roman"/>
          <w:b/>
          <w:sz w:val="52"/>
          <w:szCs w:val="52"/>
        </w:rPr>
        <w:t>–</w:t>
      </w:r>
      <w:r w:rsidR="00DA6D17">
        <w:rPr>
          <w:rFonts w:ascii="Times New Roman" w:hAnsi="Times New Roman" w:cs="Times New Roman"/>
          <w:b/>
          <w:sz w:val="52"/>
          <w:szCs w:val="52"/>
        </w:rPr>
        <w:t>20</w:t>
      </w:r>
      <w:r w:rsidR="00CA53D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202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62445">
        <w:rPr>
          <w:rFonts w:ascii="Times New Roman" w:hAnsi="Times New Roman" w:cs="Times New Roman"/>
          <w:b/>
          <w:sz w:val="52"/>
          <w:szCs w:val="52"/>
        </w:rPr>
        <w:t>ок</w:t>
      </w:r>
      <w:r w:rsidR="00B40AEB">
        <w:rPr>
          <w:rFonts w:ascii="Times New Roman" w:hAnsi="Times New Roman" w:cs="Times New Roman"/>
          <w:b/>
          <w:sz w:val="52"/>
          <w:szCs w:val="52"/>
        </w:rPr>
        <w:t>тября</w:t>
      </w:r>
      <w:r w:rsidR="006040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761BFB">
        <w:rPr>
          <w:rFonts w:ascii="Times New Roman" w:hAnsi="Times New Roman" w:cs="Times New Roman"/>
          <w:b/>
          <w:sz w:val="52"/>
          <w:szCs w:val="52"/>
        </w:rPr>
        <w:t>7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D2CA7" w:rsidRDefault="00DD2CA7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</w:p>
    <w:p w:rsidR="00DD2CA7" w:rsidRDefault="00DD2CA7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</w:t>
      </w:r>
      <w:r w:rsidR="00761BFB">
        <w:rPr>
          <w:rFonts w:eastAsia="Times New Roman"/>
          <w:sz w:val="28"/>
        </w:rPr>
        <w:t>7</w:t>
      </w:r>
      <w:r>
        <w:rPr>
          <w:rFonts w:eastAsia="Times New Roman"/>
          <w:sz w:val="28"/>
        </w:rPr>
        <w:br w:type="page"/>
      </w:r>
    </w:p>
    <w:p w:rsidR="005F4CD4" w:rsidRDefault="005F4CD4" w:rsidP="00FC49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FC4997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 Л А В Л Е Н И Е</w:t>
      </w:r>
    </w:p>
    <w:p w:rsidR="00AB1B86" w:rsidRDefault="00AB1B86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0AEB" w:rsidRDefault="00B40AEB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79CE" w:rsidRDefault="00DA6D17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машин..........................</w:t>
      </w:r>
      <w:r w:rsidR="006679CE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0142BB">
        <w:rPr>
          <w:rFonts w:ascii="Times New Roman" w:hAnsi="Times New Roman" w:cs="Times New Roman"/>
          <w:sz w:val="28"/>
          <w:szCs w:val="28"/>
        </w:rPr>
        <w:t>...............................3</w:t>
      </w:r>
    </w:p>
    <w:p w:rsidR="006679CE" w:rsidRDefault="006679CE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Кузнечно-штамповочное производство.......................................</w:t>
      </w:r>
      <w:r w:rsidR="000142BB">
        <w:rPr>
          <w:rFonts w:ascii="Times New Roman" w:hAnsi="Times New Roman" w:cs="Times New Roman"/>
          <w:sz w:val="28"/>
          <w:szCs w:val="28"/>
        </w:rPr>
        <w:t>.........3</w:t>
      </w:r>
    </w:p>
    <w:p w:rsidR="00FC4997" w:rsidRPr="00144663" w:rsidRDefault="00FC4997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4663">
        <w:rPr>
          <w:rFonts w:ascii="Times New Roman" w:hAnsi="Times New Roman" w:cs="Times New Roman"/>
          <w:sz w:val="28"/>
          <w:szCs w:val="28"/>
        </w:rPr>
        <w:t>Литейное производство</w:t>
      </w:r>
      <w:r w:rsidR="00A06A47">
        <w:rPr>
          <w:rFonts w:ascii="Times New Roman" w:hAnsi="Times New Roman" w:cs="Times New Roman"/>
          <w:sz w:val="28"/>
          <w:szCs w:val="28"/>
        </w:rPr>
        <w:t>……………………………………………….3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4663">
        <w:rPr>
          <w:rFonts w:ascii="Times New Roman" w:hAnsi="Times New Roman" w:cs="Times New Roman"/>
          <w:sz w:val="28"/>
          <w:szCs w:val="28"/>
        </w:rPr>
        <w:t>Металловедение и термическая обработка</w:t>
      </w:r>
      <w:r w:rsidR="00660433">
        <w:rPr>
          <w:rFonts w:ascii="Times New Roman" w:hAnsi="Times New Roman" w:cs="Times New Roman"/>
          <w:sz w:val="28"/>
          <w:szCs w:val="28"/>
        </w:rPr>
        <w:t>………………………....</w:t>
      </w:r>
      <w:r w:rsidR="001F76A6">
        <w:rPr>
          <w:rFonts w:ascii="Times New Roman" w:hAnsi="Times New Roman" w:cs="Times New Roman"/>
          <w:sz w:val="28"/>
          <w:szCs w:val="28"/>
        </w:rPr>
        <w:t>..</w:t>
      </w:r>
      <w:r w:rsidR="00A06A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4663">
        <w:rPr>
          <w:rFonts w:ascii="Times New Roman" w:hAnsi="Times New Roman" w:cs="Times New Roman"/>
          <w:sz w:val="28"/>
          <w:szCs w:val="28"/>
        </w:rPr>
        <w:t>Металлообработка. Механосборочное производство</w:t>
      </w:r>
      <w:r w:rsidR="000142BB">
        <w:rPr>
          <w:rFonts w:ascii="Times New Roman" w:hAnsi="Times New Roman" w:cs="Times New Roman"/>
          <w:sz w:val="28"/>
          <w:szCs w:val="28"/>
        </w:rPr>
        <w:t>……………....</w:t>
      </w:r>
      <w:r w:rsidR="00E63A4B">
        <w:rPr>
          <w:rFonts w:ascii="Times New Roman" w:hAnsi="Times New Roman" w:cs="Times New Roman"/>
          <w:sz w:val="28"/>
          <w:szCs w:val="28"/>
        </w:rPr>
        <w:t>.</w:t>
      </w:r>
      <w:r w:rsidR="00A06A47">
        <w:rPr>
          <w:rFonts w:ascii="Times New Roman" w:hAnsi="Times New Roman" w:cs="Times New Roman"/>
          <w:sz w:val="28"/>
          <w:szCs w:val="28"/>
        </w:rPr>
        <w:t>6</w:t>
      </w:r>
    </w:p>
    <w:p w:rsidR="00FC4997" w:rsidRDefault="00FC4997" w:rsidP="00E63A4B">
      <w:pPr>
        <w:pStyle w:val="a4"/>
        <w:tabs>
          <w:tab w:val="left" w:pos="8931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Сварка, пайка, резка, склеивание металлов</w:t>
      </w:r>
      <w:r w:rsidR="00F77431">
        <w:rPr>
          <w:rFonts w:ascii="Times New Roman" w:hAnsi="Times New Roman" w:cs="Times New Roman"/>
          <w:sz w:val="28"/>
          <w:szCs w:val="28"/>
        </w:rPr>
        <w:t>.............</w:t>
      </w:r>
      <w:r w:rsidR="00A06A47">
        <w:rPr>
          <w:rFonts w:ascii="Times New Roman" w:hAnsi="Times New Roman" w:cs="Times New Roman"/>
          <w:sz w:val="28"/>
          <w:szCs w:val="28"/>
        </w:rPr>
        <w:t>.............................8</w:t>
      </w:r>
    </w:p>
    <w:p w:rsidR="00660433" w:rsidRDefault="00660433" w:rsidP="00FC49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организация производства.............................</w:t>
      </w:r>
      <w:r w:rsidR="00A06A47">
        <w:rPr>
          <w:rFonts w:ascii="Times New Roman" w:hAnsi="Times New Roman" w:cs="Times New Roman"/>
          <w:sz w:val="28"/>
          <w:szCs w:val="28"/>
        </w:rPr>
        <w:t>................11</w:t>
      </w:r>
    </w:p>
    <w:p w:rsidR="00A04383" w:rsidRPr="00A04383" w:rsidRDefault="00F77431" w:rsidP="00006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4383" w:rsidRPr="00A04383">
        <w:rPr>
          <w:rFonts w:ascii="Times New Roman" w:hAnsi="Times New Roman" w:cs="Times New Roman"/>
          <w:sz w:val="28"/>
          <w:szCs w:val="28"/>
        </w:rPr>
        <w:t>Выставки. Конференции. Форумы</w:t>
      </w:r>
      <w:r w:rsidR="00A04383">
        <w:rPr>
          <w:rFonts w:ascii="Times New Roman" w:hAnsi="Times New Roman" w:cs="Times New Roman"/>
          <w:sz w:val="28"/>
          <w:szCs w:val="28"/>
        </w:rPr>
        <w:t>.......................................................1</w:t>
      </w:r>
      <w:r w:rsidR="00A06A47">
        <w:rPr>
          <w:rFonts w:ascii="Times New Roman" w:hAnsi="Times New Roman" w:cs="Times New Roman"/>
          <w:sz w:val="28"/>
          <w:szCs w:val="28"/>
        </w:rPr>
        <w:t>2</w:t>
      </w:r>
    </w:p>
    <w:p w:rsidR="00B61B2E" w:rsidRPr="00F77431" w:rsidRDefault="00F77431" w:rsidP="00A04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431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660433">
        <w:rPr>
          <w:rFonts w:ascii="Times New Roman" w:hAnsi="Times New Roman" w:cs="Times New Roman"/>
          <w:sz w:val="28"/>
          <w:szCs w:val="28"/>
        </w:rPr>
        <w:t>.............................</w:t>
      </w:r>
      <w:r w:rsidR="00A06A47">
        <w:rPr>
          <w:rFonts w:ascii="Times New Roman" w:hAnsi="Times New Roman" w:cs="Times New Roman"/>
          <w:sz w:val="28"/>
          <w:szCs w:val="28"/>
        </w:rPr>
        <w:t>12</w:t>
      </w: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B61B2E" w:rsidRDefault="00B61B2E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B61B2E" w:rsidRDefault="00B61B2E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F77431" w:rsidRDefault="00F77431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B319AF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B319AF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B319AF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B319AF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42303A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E75980">
        <w:rPr>
          <w:rFonts w:ascii="Times New Roman" w:hAnsi="Times New Roman" w:cs="Times New Roman"/>
          <w:sz w:val="24"/>
          <w:szCs w:val="24"/>
        </w:rPr>
        <w:t xml:space="preserve"> за выпуск – Гава О.Ю.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– Головкина Н.М.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редактор – Мунтяну Г.В.</w:t>
      </w:r>
    </w:p>
    <w:p w:rsidR="0078680B" w:rsidRDefault="0078680B" w:rsidP="00A62445">
      <w:pPr>
        <w:rPr>
          <w:rFonts w:ascii="Times New Roman" w:hAnsi="Times New Roman" w:cs="Times New Roman"/>
          <w:b/>
          <w:sz w:val="24"/>
          <w:szCs w:val="24"/>
        </w:rPr>
      </w:pPr>
    </w:p>
    <w:p w:rsidR="0078680B" w:rsidRDefault="0078680B" w:rsidP="00A62445">
      <w:pPr>
        <w:rPr>
          <w:rFonts w:ascii="Times New Roman" w:hAnsi="Times New Roman" w:cs="Times New Roman"/>
          <w:b/>
          <w:sz w:val="24"/>
          <w:szCs w:val="24"/>
        </w:rPr>
      </w:pPr>
    </w:p>
    <w:p w:rsidR="00DA6D17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</w:p>
    <w:p w:rsidR="00DA6D17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</w:p>
    <w:p w:rsidR="00D72743" w:rsidRDefault="00D72743" w:rsidP="00DA6D17">
      <w:pPr>
        <w:rPr>
          <w:rFonts w:ascii="Times New Roman" w:hAnsi="Times New Roman" w:cs="Times New Roman"/>
          <w:b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lastRenderedPageBreak/>
        <w:t>ДЕТАЛИ  МАШИН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Двирной, С.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621.735.016.2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Прецизионные подшипники SKF для станкостроения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С. Двирной // СТАНКОИНСТРУМЕНТ. - 2017. - № 1. - С. 64-65: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 ряд инновационных решений в сфере производства и поставки подшипников для современного металлообрабатывающего оборудования от компании SKF. В частности, прецизионные радиально-упорные подшипники и гибридные подшипники с телами качения, выполненными из керамики. Особое внимание уделено применяемым современным уплотнениям, изготовленным из каучука и фторкаучука.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6D17" w:rsidRPr="00751F09" w:rsidRDefault="00565A90" w:rsidP="00565A90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A6D17"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621.833.6.001.63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методики автоматизированного проектирования гипоциклоидальных цевочных передач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А. Н. Соболев [и др.] // Технология машиностроения. - 2017. - № 10. - С. 44-49: ил. - Библиогр.: 13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 статье представлен обзор методики расчета гипоциклоидальных цевочных передач, применяемых в современном машиностроении. Указаны достоинства и недостатки гипоциклоидальных цевочных передач. Дано описание усовершенствованных методов и инструментов автоматизированного проектирования гипоциклоидальных цевочных передач. </w:t>
      </w:r>
    </w:p>
    <w:p w:rsidR="00DA6D17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t>КУЗНЕЧНО-ШТАМПОВОЧНОЕ  ПРОИЗВОДСТВО</w:t>
      </w:r>
    </w:p>
    <w:p w:rsidR="00DA6D17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 гибки труб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16-18: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Гибка труб является довольно простой технологией при отсутствии серьезных требований к качеству продукции. Однако при выборе станка есть ряд моментов, которые полезно знать.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ALIKO - листогибочный пресс в соответствии с потребностями заказчика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15: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>Постоянное совершенствование конструкции прессов и их элементов, новые разработки, использование самых современных систем ЧПУ и безопасности эксплуатации позволяет компании ALIKO Oy Ltd оставаться одним из мировых лидеров в производстве 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дравлических листогибочных прессов. </w:t>
      </w:r>
    </w:p>
    <w:p w:rsidR="00DA6D17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t>ЛИТЕЙНОЕ  ПРОИЗВОДСТВО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6D17" w:rsidRPr="00751F09" w:rsidRDefault="00565A90" w:rsidP="00565A90">
      <w:pPr>
        <w:spacing w:line="240" w:lineRule="auto"/>
        <w:ind w:left="496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A6D17"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621.74.002.6:621.74.043:669.71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Автоматизация проектирования процессов литья крупногабаритных отливок из магниевых сплавов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 / В. С. Моисеев [и др.] // Литейное производство. - 2017. - № 9. - С. 25-28: ил. - Библиогр.: 8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проектирования технологических процессов литья корпусных отливок из магниевых сплавов в комбинированную форму. Был разработан пакет программ (ПП) для расчета: исполняемых размеров литниковой системы; температуры заливки расплава в форму; распределения температур расплава в форме в конце ее заполнения; непрерывности питания вертикальных стенок отливки и необходимости технологических напусков; прибылей и холодильников. Рассмотренные методики в виде ПП успешно применены для получения крупногабаритных отливок из сплава МЛ5.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Батышев, А.И.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621.746.6:669.141.25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в стальных отливках горячих трещин в зависимости от условий затвердевания: </w:t>
      </w:r>
      <w:r w:rsidRPr="00751F09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II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А. И. Батышев, К. А. Батышев// Литейное производство. - 2017. - № 9. - С. 2-5: ил. - Библиогр.: 3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 части II рассмотрено изменение свободной линейной усадки углеродистой стали 25Л ГОСТ 977-88 при литье в формы: сырые песчано-бентонитовые, сухие песчано-глинистые, песчано-жидкостекольные и металлические формы. Приведены данные о характере и скорости роста свободной линейной усадки углеродистой стали, кристаллизующейся и охлаждающейся в этих формах. Обращено внимание на возможность образования трещин в кокильных и некоторых других отливках, формирующихся в условиях свободной линейной усадки.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Лившиц, В.Б.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621.746.6:669.715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Влияние параметров литья под низким давлением на плотность и структуру отливок из Al-сплавов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Б. Лившиц, В. И. Безпалько, И. Ю. Мамедова // Литейное производство. - 2017. - № 9. - С. 11-13: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>Рассмотрены возможности изготовления деталей из Al-сплавов методом литья под низким давлением. Изучено влияние давления на плотность и структуру отливок из сплава АМ5.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Марукович, Е.И.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УДК  621.74.02:669.71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Силумин с глобулярным кремнием - перспективный материал для промышленности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Е. И. Марукович, В. Ю. Стеценко // Литейное производство. - 2017. - № 9. - С. 6-8: ил. - Библиогр.: 4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методы получения силумина с глобулярным кремнием (СГК). Налажен выпуск заготовок из этого нового антифрикционного материала. Детали из СГК по износостойкости и ресурсу работы не уступают, либо превосходят аналогичные детали из промышленных антифрикционных бронз, но легче и дешевле в 3 раза.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Марширов, В.В.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621.74.002.6:621.74.043.1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Математическое моделирование затвердевания сплавов при импульсных воздействиях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В. Марширов, Л. Е. Марширова // Литейное производство. - 2017. - № 9. - С. 29-33: ил. - Библиогр.: 4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математическая модель основана на использовании метода конечных разностей. Модель реализована в виде вэб-приложения и позволяет литейщикам исследовать особенности процесса затвердевания и рассчитывать частоты импульсных воздействий. С использованием модели определены необходимые частоты для отливки толщиной 7 мм.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Муравьев, Ю.Н.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621.74.02:621.745:621.74.06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материалы для футеровки индукционных плавильных печей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Ю. Н. Муравьев, М. А. Дружевский // Литейное производство. - 2017. - № 9. - С. 22-24: ил. 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применения футеровочных материалов на основе кварцита. Описаны процессы, происходящие при эксплуатации футеровки, и факторы, влияющие на ее эффективное применение.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17" w:rsidRPr="00751F09" w:rsidRDefault="00565A90" w:rsidP="00565A90">
      <w:pPr>
        <w:spacing w:line="240" w:lineRule="auto"/>
        <w:ind w:left="6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A6D17" w:rsidRPr="00751F09">
        <w:rPr>
          <w:rFonts w:ascii="Times New Roman" w:eastAsia="Times New Roman" w:hAnsi="Times New Roman" w:cs="Times New Roman"/>
          <w:sz w:val="24"/>
          <w:szCs w:val="24"/>
        </w:rPr>
        <w:t>УДК  621.74.02:621.74.045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газопроницаемости противопригарных красок для литья по газифицируемым моделям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Е. А. Белобров [и др.] // Литейное производство. - 2017. - № 9. - С. 14-17. - Библиогр.: 4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Рассмотрены особенности противопригарных красок для литья по газифицируемым моделям. Показано, что сцепление противопригарных красок с полистирольными моделями зависит от происхождения пенополистирола (ППС) и его качества. Превышение толщины красочного слоя &gt; 0,3 мм чревато закупоркой формы, "стрельбой" и всплесками металла. При окрашивании ППС-моделей наблюдается "сползание" краски с них, причины которого - некондиционный ППС, слишком мелкозернистый полистирол, остатки разделительных покрытий на пресс-форме, пересушка моделей. Разработаны меры предупреждения "сползания" красок с моделей. Испытание 10 видов импортных противопригарных красок показали их нулевую газопроницаемость. Предлагается разработать стандарт и узаконить методику определения газопроницаемости противопригарных красок.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Сорокина, В.Е.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621.74.02:903.52, 739.5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 формировании отливок из сплава Cu-Zn в условиях ускоренного охлаждения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Е. Сорокина// Литейное производство. - 2017. - № 9. - С. 18-21: ил. - Библиогр.: 3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Литье металла в охлаждающую жидкость отличается от традиционного литья тем, что отливка попадает в пространство, не ограниченное стенками формы, и кристаллизуется в условиях ускоренного охлаждения. Исследование отливок из латуни Л63, полученных литьем в воду, показало, что такой способ обработки влияет на структуру сплава Cu-Zn, в формирование отливок зависит от степени переохлаждения сплава и скорости его кристаллизации.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Ткаченко, С.С.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67.05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Состояние и научно-технический потенциал литейного производства Санкт-Петербурга и Ленинградской области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С. С. Ткаченко // СТАНКОИНСТРУМЕНТ. - 2017. - № 1. - С. 50-54.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состояние литейного производства в регионе, его научно-технический потенциал. Предложена стратегия модернизации и выбор технологий в литейном производстве.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Фирстов, А.П.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           </w:t>
      </w:r>
      <w:r w:rsidR="00565A90" w:rsidRPr="00565A9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ДК  621.74.02:621.74.041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Влияние состава натриевых жидких стекол на пористость литейных красок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А. П. Фирстов // Литейное производство. - 2017. - № 9. - С. 9-10.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Неправильно выбранная жидкостекольная краска может привести к возникновению дефектов на отливках.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Дронов, Е.А.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620.179.15:681.3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Структурные особенности чугуна цилиндра дизельного двигателя, определенные с применением рентгеновской томографии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Е. А. Дронов, В. И. Барахов // Технология машиностроения. - 2017. - № 10. - С. 5-9: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применения рентгеновской вычислительной томографии при определении структурных особенностей чугуна цилиндра дизельных двигателей АК "Туламашзавод". На основе анализа полученных результатов показаны возможные неоднородные распределения плотности элементарных ячеек в поперечных сечениях в зависимости от конструктивных особенностей цилиндра, термической обработки, очередности в одной плавке.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65A90" w:rsidRDefault="00565A90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Ефименко, Л.А.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812.35.08.05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Обоснование зависимости определения углеродного эквивалента малоуглеродистых трубных сталей нового поколения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Л. А. Ефименко, О. Ю. Елагина, О. Е. Капустин // Сварочное производство. - 2017. - № 10. - С. 3-7: ил. - Библиогр.: 9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Выполнен анализ существующих зависимостей для определения эквивалента углерода традиционных трубных сталей. С учетом особенностей легирования высокопрочных трубных сталей нового поколения, обоснована необходимость уточнения коэффициентов эквивалентности марганца, учета комплексного влияния таких карбидообразующих элементов, как титан, ниобий, ванадий, цирконий в зависимости для расчета эквивалента углерода.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802CB8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802CB8"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Андриченко, А.Н.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Три поколения отечественных САПР технологических процессов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А. Н. Андриченко // СТАНКОИНСТРУМЕНТ. - 2017. - № 1. - С. 56-63: ил. - Библиогр.: 5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 опыт трансформации отечественных систем автоматизированного проектирования технологических процессов (САПР ТП) с начала 90-х годов по настоящее время. Описана эволюция двух моделей данных - технологического процесса и нормативно-справочной информации (НСИ). Представлены преимущества системы следующего поколения САПР ТП Timeline, ее принципиальные особенности, функционал и основные расчетные положения. Показан механизм взаимодействия САПР ТП Timeline с системой Semantic MDM и возможности их встраивания в комплексы PLM зарубежных и отечественных производителей.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Базров, Б.М.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Определение технологических возможностей станков токарной группы на модульном уровне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Б. М. Базров, А. В. Сахаров // СТАНКОИНСТРУМЕНТ. - 2017. - № 1. - С. 44-48: ил. - Библиогр.: 5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На примере токарно-центрового станка показан подход к определению технологических возможностей станков токарной группы на модульном уровне.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Бровман, М.Я.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Усовершенствование процесса сборки трубопроводов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М. Я. Бровман // Технология машиностроения. - 2017. - № 10. - С. 21-26: ил. - Библиогр.: 11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 сборке и сварке трубопроводов из-за различий диаметров труб и их смещений на стыках соседних труб образуются ступеньки, увеличивающие гидравлическое сопротивление и создающие колебания давлений. Это уменьшает долговечность труб и может привести к их разрушению. Предложен новый процесс сборки и сварки труб, позволяет повысить точность трубопроводов и их долговечность.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Григорьев, С.Н.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развития отечественного станкостроения в интересах обеспечения технологической независимости российского машиностроения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С. Н. Григорьев // СТАНКОИНСТРУМЕНТ. - 2017. - № 1. - С. 18-23: ил. - Библиогр.: 9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текущее состояние отечественной станкоинструментальной отрасли с точки зрения внутреннего потребления, экспортно-импортной деятельности и потенциала импортозамещения. Обоснована целесообразность создания на базе МГТУ "СТАНКИН"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Государственного научного и конструктурско-технологического центра станкостроения, приведен перечень стратегических задач, которые могут быть решены в рамках такого центра.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Дмитриев, </w:t>
      </w:r>
      <w:r w:rsidRPr="00751F09">
        <w:rPr>
          <w:rFonts w:ascii="Times New Roman" w:eastAsia="Times New Roman" w:hAnsi="Times New Roman" w:cs="Times New Roman"/>
          <w:bCs/>
          <w:i/>
          <w:sz w:val="24"/>
          <w:szCs w:val="24"/>
        </w:rPr>
        <w:t>Б.М.</w:t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621.9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Способ испытаний металлорежущего станка по параметрам точности при воздействии термических процессов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Б. М. Дмитриев // Технология машиностроения. - 2017. - № 10. - С. 15-19: ил. - Библиогр.: 6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Материал статьи посвящен вопросу оценки качества станка по параметрам точности при действии термических процессов. Существующее состояние оценки качества станка при действии термических процессов характеризуется достаточно длительным временем и низким качеством, получаемой информации о термическом состоянии станка.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Кузнецов, А.П.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 xml:space="preserve">Эффективность металлообрабатывающего оборудования и производственных систем: </w:t>
      </w:r>
      <w:r w:rsidRPr="00751F09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1. Энергоэффективность металлообрабатывающего оборудования и производственных систем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А. П. Кузнецов, А. В. Каляшина // СТАНКОИНСТРУМЕНТ. - 2017. - № 1. - С. 32-43: ил. - Библиогр.: 19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>Приведен анализ существующих методик оценки энергоэффективности металлорежущих станков. Описан разработанный методологический подход создания систем взаимосвязанных частных показателей эне</w:t>
      </w:r>
      <w:r>
        <w:rPr>
          <w:rFonts w:ascii="Times New Roman" w:eastAsia="Times New Roman" w:hAnsi="Times New Roman" w:cs="Times New Roman"/>
          <w:sz w:val="24"/>
          <w:szCs w:val="24"/>
        </w:rPr>
        <w:t>ргоэффективности, таких как уро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вень потенциальной и фактической энергоэффективности, уровень эффективности энергонасыщенности и т.п. Показана принципиальная возможность использования данной методики для анализа сравнительной энергоэффективности различных моделей оборудования.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Самодуров, Г.В.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Конструкторско-технологическое обеспечение российского станкостроения в интересах технического перевооружения ОПК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Г. В. Самодуров // СТАНКОИНСТРУМЕНТ. - 2017. - № 1. - С. 10-15: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основные проблемы научной поддержки совершенствования станкоинструментальной продукции, вывода на уровень серийного производства новых видов станков и инструмента. Предложено создание головного государственного центра научного и конструкторско-технологического обеспечения станкостроения на базе МГТУ "СТАНКИН". Обоснована целесообразность реализации субсидируемой из федерального бюджета долгосрочной программы работ сообщества российских станкостроителей, направленных на реализацию приоритетов научно-технического развития Российской Федерации.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Сурков, И.В.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Разработка методики координатных измерений резьбовых конических калибров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 / И. В. Сурков // СТАНКОИНСТРУМЕНТ. - 2017. - № 1. - С. 82-89: ил. - Библиогр.: 9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Приведено описание разработанной методики и программного обеспечения для координатных измерений геометрических параметров конических резьбовых калибров. Рассмотрены типовые стратегии измерений на универсальных и специализированных координатно-измерительных приборах, машинах и системах, а также особенности размерно-точностного анализа результатов координатных измерений.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Тормышев, Д.В.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Современные тиски SCHUNK: доступность и универсальность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Д. В. Тормышев // СТАНКОИНСТРУМЕНТ. - 2017. - № 1. - С. 68-70: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Рассмотрены основные конструктивные отличия семейства центричных тисков модели KSC от компании SCHUNK. Также приведена информация по различным модификациям накладных кулачков, позволяющих использовать тиски для решения широкого спектра технологических задач. </w:t>
      </w:r>
    </w:p>
    <w:p w:rsidR="00DA6D17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t>СВАРКА,  ПАЙКА,  РЕЗКА,  СКЛЕИВАНИЕ  МЕТАЛЛОВ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Барабанова, О.А.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812.35.21.15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Диффузионная сварка: возможные дефекты сварных соединений, причины их возникновения и методы контроля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О. А. Барабанова, В. А. Полунин, П. А. Салмин // Сварочное производство. - 2017. - № 10. - С. 34-43: ил. - Библиогр.: 10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Работоспособность сварных конструкций определяется качеством сварных соединений. Наиболее негативное влияние на качество сварной конструкции оказывает наличие дефектов, выявление которых и является главной задачей контроля качества. Выявление и исключение дефектов позволяют совершенствовать режим сварки, что в свою очередь приводит к повышению качества сварных соединений и, как следствие, к повышению производительности процесса сварки. При выборе методов и средств контроля соединений, выполненных диффузионной сварки, необходимо иметь четкое представление о характере дефектов и причинах их появления. Представлены классификация дефектов, образующихся при диффузионной сварке, причины их возникновения и методы контроля.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Варуха, Е.Н.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621.791.754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Расчет размера капель, отрывающихся от электрода при сварке в защитных газах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Е. Н. Варуха // Сварочное производство. - 2017. - № 10. - С. 8-11: ил. - Библиогр.: 9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рассмотрения идеализированной модели образования и переноса электродных капель при сварке в защитных газах установлена зависимость размеров капли непосредственно перед отрывом от электрода и после отрыва, а также частоты каплепереноса от таких характеристик процесса сварки, как диаметр и скорость подачи электрода и размеров сегмента жидкого металла, остающегося на торце электрода после отрыва капли. Полученные аналитические выражения позволяют рассчитывать размеры электродных капель или частоты их переноса для оптимальных условий ведения процесса сварки с управляемыми короткими замыканиями дугового промежутка, что обеспечивает максимально возможную стабильность процесса и качество шва. </w:t>
      </w:r>
    </w:p>
    <w:p w:rsidR="00565A90" w:rsidRDefault="00565A90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Жетесова, Г.С.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812.35.15.14.29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Оценка показателей качества газотермических покрытий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Г. С. Жетесова, О. М. Жаркевич, О. А. Нуржанова // Технология машиностроения. - 2017. - № 10. - С. 27-30: ил. - Библиогр.: 6 назв.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Приведены данные показателей качества по результатам исследований газотермических покрытий порошками 12Н-02, ПС-12НВК-01, СНГН-55 на детали из Ст. 3. Установлено, что качество газотермических покрытий определяется адгезионной и когезионной прочностью, пористостью, уровнем остаточных напряжений, износостойкостью покрытий. 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решения в сварке от компании ЭСАБ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39-40: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Созданная в 1904 году в Швеции, небольшая компания ЭСАБ по ремонту судовых котлов сегодня является они из крупнейших в мире производителей материалов, оборудования и аксессуаров для сварки и резки металлов. </w:t>
      </w: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Карпова, Т.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Новинки резки и сварки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 Т. Карпова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28-35: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 рамках подготовки к выставке Weldex в статье рассказывается, какие тематические новинки компании демонстрировались за прошедший год и, что анонсируется для ближайших показов. Представлены результаты опросов и маркетинговых исследований. </w:t>
      </w: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Кольченко, В.А.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Технологии плазменной резки нержавеющих сталей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 В. А. Кольченко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36-38: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Плазменная резка, наиболее распространенная для листового раскроя нержавеющих сталей, отличается определенными трудностями и особенностями. Актуально ее развитие и совершенствование, как в части технологии, так и оборудования. Приведены газы, применяемые для плазменной резки, три основных типа плазмотронов для резки нержавеющей стали, а также примеры плазменной резки с помощью различных технологий, применяемые на практике. 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Лазерное упрочнение и наплавка деталей машин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 В. П. Бирюков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24-27: ил. - Библиогр.: 12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наблюдается тенденция увеличения доли технологий лазерного упрочнения и наплавки деталей станков, машин и агрегатов от общего объема внедрения новых технологий. Цель работы - повышение ресурса работы деталей машин с помощью волоконных лазеров, уменьшение или исключение зон отпуска при лазерном упрочнении, повышение коэффициента использования порошкового материала при наплавке. </w:t>
      </w: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Мейстер, Р.А.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621.791.754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 xml:space="preserve">Сварка на малых токах при питании дуги от выпрямителей с конденсаторным умножителем напряжения </w:t>
      </w:r>
      <w:r w:rsidRPr="00751F09">
        <w:rPr>
          <w:rFonts w:ascii="Times New Roman" w:eastAsia="Times New Roman" w:hAnsi="Times New Roman" w:cs="Times New Roman"/>
          <w:b/>
          <w:i/>
          <w:sz w:val="24"/>
          <w:szCs w:val="24"/>
        </w:rPr>
        <w:t>(обзор)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Р. А. Мейстер, А. Р. Мейстер // Сварочное производство. - 2017. - № 10. - С. 23-28. - Библиогр.: 44 назв.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 обзор публикаций по сварке и наплавке покрытыми электродами, плавящимся и неплавящимся электродом в защитных газах, зажиганию дуги в защитных газах на малых токах при питании дуги от выпрямителей с конденсаторным умножителем напряжения. </w:t>
      </w: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Ожегов, Н.М.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812.35.03.03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Особенности нанесения тонкослойных покрытий плазменно-порошковой наплавкой стационарной и импульсной дугой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Н. М. Ожегов, В. П. Лялякин, Д. Б. Слинко // Сварочное производство. - 2017. - № 10. - С. 28-33: ил. - Библиогр.: 4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технологические возможности повышения устойчивости формирования тонкослойных покрытий с учетом неравномерности распределения теплоты в дуговом промежутке и давления сварочной дуги. Показана возможность увеличения интенсивности плавления порошкообразного присадочного материала в приосевой зоне сжатой дуги и повышения эффективности процесса наплавки путем минимизации погонной энергии, снижения расхода присадочных материалов и длительности контактирования твердой и жидкой фаз с переносом потока частиц в зону пятна дуги в расплавленном состоянии на примере высокоскоростной наплавки деталей машин и оборудования.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A90" w:rsidRDefault="00565A90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65A90" w:rsidRDefault="00565A90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Сысоев, Ю.С.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621.791:62-558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плавления электрода при разработке компьютерных 3D-тренажеров для обучения ручной дуговой сварки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Ю. С. Сысоев, В. В. Кривин, В. А. Толстов // Сварочное производство. - 2017. - № 10. - С. 12-17: ил. - Библиогр.: 6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исследований распределения промежутков времени между короткими замыканиями при сварке плавящимся электродом. Показано, что длина межкапельных промежутков в процессе ручной дуговой сварки (РДС) как случайная величина подчиняется закону распределения, являющемуся смесью экспоненциального распределения и распределения Рэлея. Приведена методика аналитической аппроксимации законов распределения этой случайной величины, позволяющая моделировать плавление электрода в сварочных тренажерах для формирования потока команд управления приводом имитации переменной скорости плавления.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6D17" w:rsidRPr="00751F09" w:rsidRDefault="00565A90" w:rsidP="00565A90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A6D17"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621.791.16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Технологические особенности ультразвуковой сварки крышки к корпусу аккумуляторной батареи из полиэтилена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С. С. Волков [и др.] // Сварочное производство. - 2017. - № 10. - С. 43-49: ил. - Библиогр.: 6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 анализ различных существующих способов сварки корпусов автомобильных аккумуляторных батарей из полиэтилена низкого давления. Обоснован выбор способа ультразвуковой сварки, указаны преимущества этого метода сварки. В результате анализа свойств различных пластмасс выбран полиэтилен низкого давления, обладающий более высокой по сравнению с полипропиленом морозоустойчивостью и небольшой склонностью к растрескиванию в условиях низких температур. </w:t>
      </w: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Ширшова, Г.И.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621.002.061.2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электродуговой сварки и организация сварочного производства: </w:t>
      </w:r>
      <w:r w:rsidRPr="00751F09">
        <w:rPr>
          <w:rFonts w:ascii="Times New Roman" w:eastAsia="Times New Roman" w:hAnsi="Times New Roman" w:cs="Times New Roman"/>
          <w:b/>
          <w:i/>
          <w:sz w:val="24"/>
          <w:szCs w:val="24"/>
        </w:rPr>
        <w:t>(К 175-летию со дня рождения Н.Н. Бенардоса)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Г. И. Ширшова // Сварочное производство. - 2017. - № 10. - С. 56-60: ил. - Библиогр.: 26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Приведены материалы, уточняющие историю создания и работы завода "Электрогефест", созданного Н.Н. Бенардосом в Петербурге.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Явдощин, И.Р.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812.35.03.01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Исследование растворимости твердой составляющей сварочных аэрозолей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И. Р. Явдощин, С. Н. Степанюк, И. П. Губеня // Сварочное производство. - 2017. - № 10. - С. 17-22: ил. - Библиогр.: 6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Проведено исследование влияния основности шлака, образующегося при сварке электродами с рутиловым видом покрытия, и содержания в электродном покрытии соединений щелочных металлов на растворимость твердой составляющей сварочного аэрозоля в имитаторах биологической среды. Установлено, что повышение основности, так же как и увеличения содержания щелочных соединений, способствует процессу растворения. Показано, что наиболее интенсивное растворение происходит в имитаторах желудочного сока, тогда как в имитаторе среды органов дыхания интенсивность растворения ниже.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Яшенков, Н.А.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Увеличение производительности сварки MIG/MAG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 Н. А. Яшенков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42-45: ил. - Библиогр.: 1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>Правильный выбор смеси защитных газов - одна из важных составляющих для осуществления эффективного сварочного процесса. Так, самый дешевый вариант СО</w:t>
      </w:r>
      <w:r w:rsidRPr="00751F0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газа заведомо ограничивает выбор оптимального типа переноса металла электрода для получения максимальной производительности на различных толщина металла. Исследовано влияние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типов переноса электродного металла (перенос коротким замыканием, крупнокапельный перенос, мелкокапельный перенос, струйный перенос, импульсный перенос) на увеличение производительности MIG/MAG-сварки.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t>ЭКОНОМИКА  И  ОРГАНИЗАЦИЯ  ПРОИЗВОДСТВА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Архипов, Г.И.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Проблема дальневосточной черной металлургии: обзор состояния и приоритеты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Г. И. Архипов // Проблемы прогнозирования. - 2017. - № 3. - С. 42-51. - Библиогр.: 16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 статье рассматриваются проблемы Дальневосточного региона в отношении, которого провозглашен новый стратегический курс развития. В интересах обеспечения всевозрастающих потребностей экономики региона в разнообразной металлопродукции необходимы организационные изменения, диктуемые реальной ситуацией: ускоренное строительство нового металлургического предприятия, создание собственной черной металлургии нового цикла.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Зенькович, М.В.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339.2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Повышение эффективности принятия решений при оценке инвестиционных проектов создания и модернизации цехов машиностроительных предприятий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М. В. Зенькович, Ю. Г. Древс // Технология машиностроения. - 2017. - № 10. - С. 65-72: ил. - Библиогр.: 8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методы и программные средства, позволяющие оценивать эффективность и проводить сравнение альтернативных проектов цехов машиностроительных предприятий. Задача оценки эффективности сформулирована в терминах теории принятия решений. Представленный подход базируется на применении имитационного моделирования для оценки технологических и конструктивных решений, заложенных при проектировании рассматриваемого машиностроительного производства.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Сойфер, В.М.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опыте организации литейного производства: </w:t>
      </w:r>
      <w:r w:rsidRPr="00751F09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 в редакцию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М. Сойфер // Литейное производство. - 2017. - № 9. - С. 34-37.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Приведены примеры разумной организации литейного производства в масштабе, как завода, так и отрасли, в целом.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Суслов, Ан.А.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621.002.061.2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2-я Международная специализированная выставка "МеталлоКонструкции-2017"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Суслов Ан.А. // Технология машиностроения. - 2017. - № 10. - С. 77-80.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С 5 по 8 июня 2017 года в Москве, в ЦВК "Экспоцентр" прошла 2-я Международная специализированная выставка "МеталлоКонструкции-2017" по направлениям: стальные конструкции различного назначения, металлоконструкция для конструкции (прокат, профиль, крепеж), оборудование для производства конструкций (прокатное, гибочное, сварочное и др.), защита стальных конструкций, проектирование, изготовление и монтаж металлоконструкций. В статье приведены инновационные проекты фирм и компаний, экспонируемых на выставке.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Фролов, В.А.</w:t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65A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338.2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Оценка развития трудового потенциала сварочного производства на предприятиях машиностроения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А. Фролов, Л. М. Путятина, А. Н. Власенко // Сварочное производство. - 2017. - № 10. - С. 50-55. - Библиогр.: 7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Рассмотрена система показателей для оценки развития трудового потенциала сварочного производства на машиностроительных предприятиях. Приведен перечень используемых показателей, даны расчетные формулы, проведен их анализ и взаимосвязь между собой. Отражены основные тенденции изменения отдельных показателей во времени, которые определяют развитие трудового потенциала сварочного производства и возможности повышения эффективности его использования. </w:t>
      </w:r>
    </w:p>
    <w:p w:rsidR="00DA6D17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751F09">
        <w:rPr>
          <w:rFonts w:ascii="Times New Roman" w:hAnsi="Times New Roman" w:cs="Times New Roman"/>
          <w:b/>
          <w:sz w:val="24"/>
          <w:szCs w:val="24"/>
        </w:rPr>
        <w:t>ВЫСТАВКИ.  КОНФЕРЕНЦИИ.  ФОРУМЫ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Будущее технологий производства - инновационное оборудование и комплексные решения для цифрового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// РИТМ Машиностроения. - 2017. - № 7. - С. 12-14: ил. 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>На выставке ЕМО-2017 в Ганновере компания DVG MORI представляет свою экспозицию на площади около 10000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м в качестве ведущего эксперта по высокотехнологичным производственным решениям и цифровизации. Компания посредством разнообразия программного обеспечения прокладывает путь в будущее цифрового производства. </w:t>
      </w: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Карпова, Т</w:t>
      </w: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6D17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На острие лазерного прогресса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Т. Карпова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>// РИТМ Машиностроения. - 2017. - № 7. - С. 20-22: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>В статье рассказывается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экспозиции, представленной на стенде НТО "ИРЭ-Полюс", посвященной развитию лазерных технологий.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802CB8" w:rsidRDefault="00DA6D17" w:rsidP="00DA6D17">
      <w:pPr>
        <w:rPr>
          <w:rFonts w:ascii="Times New Roman" w:hAnsi="Times New Roman" w:cs="Times New Roman"/>
          <w:b/>
          <w:sz w:val="24"/>
          <w:szCs w:val="24"/>
        </w:rPr>
      </w:pPr>
      <w:r w:rsidRPr="00802CB8"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6D17" w:rsidRPr="00751F09" w:rsidRDefault="007A1E77" w:rsidP="007A1E77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A6D17"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004.932.2:62-216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Алгоритмическая реализация структурно-аппроксимационного подхода к метрологическому 3D-контролю ячеистых поверхностей промышленных изделий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М. М. Гавриков [и др.] // Технология машиностроения. - 2017. - № 10. - С. 50-58: ил. - Библиогр.: 11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Работа посвящена разработке структурно-аппроксимационных алгоритмов одномерного анализа 3D-изображений ячеистых поверхностей и их применению на этапе метрологического контроля крупногабаритных промышленных изделий. 3D-изображения представляются в виде облаков точек, получаемых путем триангуляционного лазерного сканирования изделий.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Бабаджанов, Л.С.</w:t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629.658.562.515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 сроке службы мер толщины покрытий цинка на стали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Л. С. Бабаджанов, М. Л. Бабаджанова, Т. А. Корюшкина // Технология машиностроения. - 2017. - № 10. - С. 37-39: ил. - Библиогр.: 2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В статье представлены результаты периодической поверки мер толщины покрытий цинка на стали, подтверждающие приемлемый срок службы и целесообразность применения покрытий цинка.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1E77" w:rsidRDefault="007A1E7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1E77" w:rsidRDefault="007A1E7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1E77" w:rsidRDefault="007A1E7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Мартишкин, В.В.</w:t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A1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621.7.08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Определение качества технических изделий при классических распределениях Парето и Гаусса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В. Мартишкин, Т. С. Сухова // Технология машиностроения. - 2017. - № 10. - С. 59-64: ил. - Библиогр.: 2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принцип расчета качества технических изделий по методу "определяющей" детали. В основе метода лежит принцип Парето 80/20, в соответствии с которым 20% "определяющих" деталей в сборочной единице обеспечивают 80% функциональности и надежности всей сборочной единицы. Показано так же, что возможно использовать распределение Парето и Гаусса, которые значительно сокращают трудоемкость расчетов качества технических изделий. 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A6D17" w:rsidRPr="00751F09" w:rsidRDefault="007A1E77" w:rsidP="007A1E77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6D17" w:rsidRPr="00751F09">
        <w:rPr>
          <w:rFonts w:ascii="Times New Roman" w:eastAsia="Times New Roman" w:hAnsi="Times New Roman" w:cs="Times New Roman"/>
          <w:bCs/>
          <w:sz w:val="24"/>
          <w:szCs w:val="24"/>
        </w:rPr>
        <w:t>УДК  621.2.002.56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идеи в активном тепловом контроле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В. П. Вавилов [и др.] // Технология машиностроения. - 2017. - № 10. - С. 40-43: ил. - Библиогр.: 11 назв.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Кратко описан прогресс последних лет в области активного теплового контроля с акцентом на исследования, проводимые в Томском политехническом университете. Особое внимание уделено новым способам тепловой стимуляции объектов контроля, а именно светодиодному, ультразвуковому и индукционному нагреву. Рассмотрены варианты исполнения тепловых дефектоскопов, а также ряд новых алгоритмов обработки последовательностей инфракрасных термограмм.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Российские станкостроители завоевывают рынок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 // СТАНКОИНСТРУМЕНТ. - 2017. - № 1. - С. 24-28, 30: ил.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Интервью генерального директора ООО "СтанкоМашСтрой" (Пензенская область) О.А. Кочеткова о спектре выпускаемой станкостроительной продукции и ее преимуществах, о конкуренции, о мерах господдержки. </w:t>
      </w: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Юденков, Н.П.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b/>
          <w:sz w:val="24"/>
          <w:szCs w:val="24"/>
        </w:rPr>
        <w:t>Состояние научного и конструкторско-технологического обеспечения станкоинструментальной отрасль СССР</w:t>
      </w: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 / Н. П. Юденков // СТАНКОИНСТРУМЕНТ. - 2017. - № 1. - С. 14-16.</w:t>
      </w:r>
    </w:p>
    <w:p w:rsidR="00DA6D17" w:rsidRPr="00751F09" w:rsidRDefault="00DA6D17" w:rsidP="00DA6D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1F09">
        <w:rPr>
          <w:rFonts w:ascii="Times New Roman" w:eastAsia="Times New Roman" w:hAnsi="Times New Roman" w:cs="Times New Roman"/>
          <w:sz w:val="24"/>
          <w:szCs w:val="24"/>
        </w:rPr>
        <w:t xml:space="preserve">Приведен список научно-исследовательских организаций, существовавших в СССР в 80-х годах ХХ века. </w:t>
      </w: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D17" w:rsidRPr="00751F09" w:rsidRDefault="00DA6D17" w:rsidP="00DA6D17">
      <w:pPr>
        <w:rPr>
          <w:rFonts w:ascii="Times New Roman" w:hAnsi="Times New Roman" w:cs="Times New Roman"/>
          <w:sz w:val="24"/>
          <w:szCs w:val="24"/>
        </w:rPr>
      </w:pPr>
    </w:p>
    <w:p w:rsidR="00DA6D17" w:rsidRDefault="00DA6D17" w:rsidP="00272050">
      <w:pPr>
        <w:rPr>
          <w:rFonts w:ascii="Times New Roman" w:hAnsi="Times New Roman" w:cs="Times New Roman"/>
          <w:b/>
          <w:sz w:val="24"/>
          <w:szCs w:val="24"/>
        </w:rPr>
      </w:pPr>
    </w:p>
    <w:p w:rsidR="00DA6D17" w:rsidRDefault="00DA6D17" w:rsidP="00272050">
      <w:pPr>
        <w:rPr>
          <w:rFonts w:ascii="Times New Roman" w:hAnsi="Times New Roman" w:cs="Times New Roman"/>
          <w:b/>
          <w:sz w:val="24"/>
          <w:szCs w:val="24"/>
        </w:rPr>
      </w:pPr>
    </w:p>
    <w:sectPr w:rsidR="00DA6D17" w:rsidSect="00F57253">
      <w:footerReference w:type="default" r:id="rId10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8C" w:rsidRDefault="00684B8C" w:rsidP="00A1782E">
      <w:r>
        <w:separator/>
      </w:r>
    </w:p>
  </w:endnote>
  <w:endnote w:type="continuationSeparator" w:id="1">
    <w:p w:rsidR="00684B8C" w:rsidRDefault="00684B8C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A90" w:rsidRDefault="00565A90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D72743">
          <w:rPr>
            <w:rFonts w:ascii="Times New Roman" w:hAnsi="Times New Roman" w:cs="Times New Roman"/>
            <w:noProof/>
          </w:rPr>
          <w:t>13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565A90" w:rsidRDefault="00565A90">
    <w:pPr>
      <w:pStyle w:val="aa"/>
    </w:pPr>
  </w:p>
  <w:p w:rsidR="00565A90" w:rsidRDefault="00565A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8C" w:rsidRDefault="00684B8C" w:rsidP="00A1782E">
      <w:r>
        <w:separator/>
      </w:r>
    </w:p>
  </w:footnote>
  <w:footnote w:type="continuationSeparator" w:id="1">
    <w:p w:rsidR="00684B8C" w:rsidRDefault="00684B8C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0699A"/>
    <w:rsid w:val="00011B26"/>
    <w:rsid w:val="000129BC"/>
    <w:rsid w:val="000142BB"/>
    <w:rsid w:val="00014FA3"/>
    <w:rsid w:val="0002361D"/>
    <w:rsid w:val="000258C1"/>
    <w:rsid w:val="000266F9"/>
    <w:rsid w:val="00026C73"/>
    <w:rsid w:val="00031BE2"/>
    <w:rsid w:val="00032D12"/>
    <w:rsid w:val="00034E26"/>
    <w:rsid w:val="00041323"/>
    <w:rsid w:val="00042050"/>
    <w:rsid w:val="000433F1"/>
    <w:rsid w:val="00046E4B"/>
    <w:rsid w:val="0004705E"/>
    <w:rsid w:val="00061444"/>
    <w:rsid w:val="00061DF8"/>
    <w:rsid w:val="000736B3"/>
    <w:rsid w:val="000813DA"/>
    <w:rsid w:val="00081421"/>
    <w:rsid w:val="0008487D"/>
    <w:rsid w:val="0008537E"/>
    <w:rsid w:val="00085F14"/>
    <w:rsid w:val="00090B25"/>
    <w:rsid w:val="00095FF1"/>
    <w:rsid w:val="000A0654"/>
    <w:rsid w:val="000A503C"/>
    <w:rsid w:val="000A5B67"/>
    <w:rsid w:val="000B36D0"/>
    <w:rsid w:val="000B4EC5"/>
    <w:rsid w:val="000C2DCF"/>
    <w:rsid w:val="000C7079"/>
    <w:rsid w:val="000D034F"/>
    <w:rsid w:val="000D0F5A"/>
    <w:rsid w:val="000D2732"/>
    <w:rsid w:val="000D37D4"/>
    <w:rsid w:val="000E0253"/>
    <w:rsid w:val="000E3D21"/>
    <w:rsid w:val="000E4256"/>
    <w:rsid w:val="000E4E96"/>
    <w:rsid w:val="000F0E80"/>
    <w:rsid w:val="000F19BB"/>
    <w:rsid w:val="000F6CA5"/>
    <w:rsid w:val="0010024D"/>
    <w:rsid w:val="00104C60"/>
    <w:rsid w:val="001073BB"/>
    <w:rsid w:val="00112B93"/>
    <w:rsid w:val="00116B33"/>
    <w:rsid w:val="00120250"/>
    <w:rsid w:val="00130A54"/>
    <w:rsid w:val="00131DFD"/>
    <w:rsid w:val="00132C9F"/>
    <w:rsid w:val="001367C7"/>
    <w:rsid w:val="001422E3"/>
    <w:rsid w:val="00144663"/>
    <w:rsid w:val="00147297"/>
    <w:rsid w:val="00147FFD"/>
    <w:rsid w:val="001548EE"/>
    <w:rsid w:val="00156895"/>
    <w:rsid w:val="00160071"/>
    <w:rsid w:val="0016356C"/>
    <w:rsid w:val="00166190"/>
    <w:rsid w:val="00171C18"/>
    <w:rsid w:val="00172AD9"/>
    <w:rsid w:val="00176161"/>
    <w:rsid w:val="00183A52"/>
    <w:rsid w:val="00196500"/>
    <w:rsid w:val="001A2749"/>
    <w:rsid w:val="001A7E7F"/>
    <w:rsid w:val="001B0AEE"/>
    <w:rsid w:val="001B2726"/>
    <w:rsid w:val="001B29FA"/>
    <w:rsid w:val="001B2AA5"/>
    <w:rsid w:val="001B4DD6"/>
    <w:rsid w:val="001C0FED"/>
    <w:rsid w:val="001D0D06"/>
    <w:rsid w:val="001D2995"/>
    <w:rsid w:val="001D3634"/>
    <w:rsid w:val="001D5452"/>
    <w:rsid w:val="001D6C68"/>
    <w:rsid w:val="001E5DB4"/>
    <w:rsid w:val="001F76A6"/>
    <w:rsid w:val="001F7BAC"/>
    <w:rsid w:val="00200BF1"/>
    <w:rsid w:val="00201AE5"/>
    <w:rsid w:val="00202EFD"/>
    <w:rsid w:val="002074A2"/>
    <w:rsid w:val="00211C84"/>
    <w:rsid w:val="0022477B"/>
    <w:rsid w:val="00231D1F"/>
    <w:rsid w:val="00234BA5"/>
    <w:rsid w:val="00240ED6"/>
    <w:rsid w:val="00243117"/>
    <w:rsid w:val="00252609"/>
    <w:rsid w:val="002650A3"/>
    <w:rsid w:val="00267ABD"/>
    <w:rsid w:val="00272050"/>
    <w:rsid w:val="00272ED7"/>
    <w:rsid w:val="00274C2C"/>
    <w:rsid w:val="00277ABE"/>
    <w:rsid w:val="00283AE2"/>
    <w:rsid w:val="00286A2B"/>
    <w:rsid w:val="002A0388"/>
    <w:rsid w:val="002B1009"/>
    <w:rsid w:val="002B2607"/>
    <w:rsid w:val="002B2E9F"/>
    <w:rsid w:val="002B43D7"/>
    <w:rsid w:val="002D6EEC"/>
    <w:rsid w:val="002E1775"/>
    <w:rsid w:val="002F3B9A"/>
    <w:rsid w:val="002F487C"/>
    <w:rsid w:val="002F686E"/>
    <w:rsid w:val="003122A1"/>
    <w:rsid w:val="0031431E"/>
    <w:rsid w:val="00314328"/>
    <w:rsid w:val="003147BF"/>
    <w:rsid w:val="00315062"/>
    <w:rsid w:val="003222EE"/>
    <w:rsid w:val="00323C51"/>
    <w:rsid w:val="00332291"/>
    <w:rsid w:val="0033570D"/>
    <w:rsid w:val="00342DB0"/>
    <w:rsid w:val="00352269"/>
    <w:rsid w:val="00363D09"/>
    <w:rsid w:val="00366092"/>
    <w:rsid w:val="00371A6D"/>
    <w:rsid w:val="00383E9D"/>
    <w:rsid w:val="003912F3"/>
    <w:rsid w:val="00391D42"/>
    <w:rsid w:val="00394DEA"/>
    <w:rsid w:val="003A5BF6"/>
    <w:rsid w:val="003B3742"/>
    <w:rsid w:val="003B7698"/>
    <w:rsid w:val="003C7EEE"/>
    <w:rsid w:val="003D0275"/>
    <w:rsid w:val="003E0AA9"/>
    <w:rsid w:val="003E189E"/>
    <w:rsid w:val="003E4B59"/>
    <w:rsid w:val="003E5C1A"/>
    <w:rsid w:val="003E7ACA"/>
    <w:rsid w:val="003E7C55"/>
    <w:rsid w:val="003F25B9"/>
    <w:rsid w:val="003F2933"/>
    <w:rsid w:val="003F540E"/>
    <w:rsid w:val="004016B0"/>
    <w:rsid w:val="0040326C"/>
    <w:rsid w:val="0040759B"/>
    <w:rsid w:val="0041682D"/>
    <w:rsid w:val="004224C0"/>
    <w:rsid w:val="0042303A"/>
    <w:rsid w:val="00433C22"/>
    <w:rsid w:val="00435D0B"/>
    <w:rsid w:val="004373BC"/>
    <w:rsid w:val="00445F52"/>
    <w:rsid w:val="00447898"/>
    <w:rsid w:val="00456DA5"/>
    <w:rsid w:val="004612A6"/>
    <w:rsid w:val="00466113"/>
    <w:rsid w:val="004736D1"/>
    <w:rsid w:val="00480AF0"/>
    <w:rsid w:val="00481E64"/>
    <w:rsid w:val="0048269F"/>
    <w:rsid w:val="00485A6E"/>
    <w:rsid w:val="0048690F"/>
    <w:rsid w:val="004935DE"/>
    <w:rsid w:val="00494941"/>
    <w:rsid w:val="00494A0B"/>
    <w:rsid w:val="00495C72"/>
    <w:rsid w:val="00496A64"/>
    <w:rsid w:val="004A0261"/>
    <w:rsid w:val="004A08EA"/>
    <w:rsid w:val="004A1F13"/>
    <w:rsid w:val="004A6DFE"/>
    <w:rsid w:val="004A7655"/>
    <w:rsid w:val="004C47A9"/>
    <w:rsid w:val="004D1CA9"/>
    <w:rsid w:val="004D7EEE"/>
    <w:rsid w:val="004E19D5"/>
    <w:rsid w:val="004E284F"/>
    <w:rsid w:val="004F5898"/>
    <w:rsid w:val="004F6F9A"/>
    <w:rsid w:val="00501BEA"/>
    <w:rsid w:val="00502683"/>
    <w:rsid w:val="0050449D"/>
    <w:rsid w:val="005048FE"/>
    <w:rsid w:val="00512516"/>
    <w:rsid w:val="00514972"/>
    <w:rsid w:val="0051791D"/>
    <w:rsid w:val="00531508"/>
    <w:rsid w:val="0054062F"/>
    <w:rsid w:val="00540ED8"/>
    <w:rsid w:val="00547501"/>
    <w:rsid w:val="0055458B"/>
    <w:rsid w:val="005547B5"/>
    <w:rsid w:val="00565A90"/>
    <w:rsid w:val="0056677F"/>
    <w:rsid w:val="00571BBF"/>
    <w:rsid w:val="005822A3"/>
    <w:rsid w:val="00582437"/>
    <w:rsid w:val="00582D10"/>
    <w:rsid w:val="0058468B"/>
    <w:rsid w:val="00590C68"/>
    <w:rsid w:val="005A41C1"/>
    <w:rsid w:val="005A42A6"/>
    <w:rsid w:val="005B18EA"/>
    <w:rsid w:val="005B3784"/>
    <w:rsid w:val="005B7D1A"/>
    <w:rsid w:val="005C4FEC"/>
    <w:rsid w:val="005D0202"/>
    <w:rsid w:val="005D1AA4"/>
    <w:rsid w:val="005D1E23"/>
    <w:rsid w:val="005F2AD3"/>
    <w:rsid w:val="005F4CD4"/>
    <w:rsid w:val="005F7F0A"/>
    <w:rsid w:val="00602D15"/>
    <w:rsid w:val="0060405F"/>
    <w:rsid w:val="00604217"/>
    <w:rsid w:val="00607028"/>
    <w:rsid w:val="006116EC"/>
    <w:rsid w:val="006153ED"/>
    <w:rsid w:val="0061729B"/>
    <w:rsid w:val="00620B2B"/>
    <w:rsid w:val="00624180"/>
    <w:rsid w:val="006248C4"/>
    <w:rsid w:val="00626818"/>
    <w:rsid w:val="00630238"/>
    <w:rsid w:val="00634AF5"/>
    <w:rsid w:val="0064154D"/>
    <w:rsid w:val="00641871"/>
    <w:rsid w:val="0064332B"/>
    <w:rsid w:val="00646304"/>
    <w:rsid w:val="00646B4A"/>
    <w:rsid w:val="0065109E"/>
    <w:rsid w:val="00660433"/>
    <w:rsid w:val="0066071A"/>
    <w:rsid w:val="00662B85"/>
    <w:rsid w:val="0066355B"/>
    <w:rsid w:val="006679CE"/>
    <w:rsid w:val="00667D55"/>
    <w:rsid w:val="00673B82"/>
    <w:rsid w:val="00677605"/>
    <w:rsid w:val="006801A5"/>
    <w:rsid w:val="00680B66"/>
    <w:rsid w:val="00682C8E"/>
    <w:rsid w:val="006830A0"/>
    <w:rsid w:val="00684B8C"/>
    <w:rsid w:val="00686114"/>
    <w:rsid w:val="00686E76"/>
    <w:rsid w:val="006935B5"/>
    <w:rsid w:val="00697213"/>
    <w:rsid w:val="006A0D1A"/>
    <w:rsid w:val="006A2770"/>
    <w:rsid w:val="006B1CD1"/>
    <w:rsid w:val="006C44C0"/>
    <w:rsid w:val="006C6CD9"/>
    <w:rsid w:val="006D3444"/>
    <w:rsid w:val="006D7ADE"/>
    <w:rsid w:val="006F16A2"/>
    <w:rsid w:val="006F3556"/>
    <w:rsid w:val="006F5620"/>
    <w:rsid w:val="006F776E"/>
    <w:rsid w:val="006F79ED"/>
    <w:rsid w:val="00702B23"/>
    <w:rsid w:val="00706257"/>
    <w:rsid w:val="007067F9"/>
    <w:rsid w:val="007100EA"/>
    <w:rsid w:val="007101BD"/>
    <w:rsid w:val="007104A0"/>
    <w:rsid w:val="00712471"/>
    <w:rsid w:val="007317F2"/>
    <w:rsid w:val="007320D9"/>
    <w:rsid w:val="007327BB"/>
    <w:rsid w:val="007422C3"/>
    <w:rsid w:val="00761BFB"/>
    <w:rsid w:val="00762FDE"/>
    <w:rsid w:val="007656B9"/>
    <w:rsid w:val="0076570B"/>
    <w:rsid w:val="00774CB4"/>
    <w:rsid w:val="00774E43"/>
    <w:rsid w:val="00783112"/>
    <w:rsid w:val="0078680B"/>
    <w:rsid w:val="00787E72"/>
    <w:rsid w:val="00794281"/>
    <w:rsid w:val="00797002"/>
    <w:rsid w:val="0079748A"/>
    <w:rsid w:val="007A1E77"/>
    <w:rsid w:val="007A49D5"/>
    <w:rsid w:val="007A642F"/>
    <w:rsid w:val="007B13F8"/>
    <w:rsid w:val="007B1CB9"/>
    <w:rsid w:val="007B64F8"/>
    <w:rsid w:val="007D13CF"/>
    <w:rsid w:val="007D4BC3"/>
    <w:rsid w:val="007D5AEA"/>
    <w:rsid w:val="007D7E0D"/>
    <w:rsid w:val="007E01CB"/>
    <w:rsid w:val="007E05D0"/>
    <w:rsid w:val="007E2684"/>
    <w:rsid w:val="007E6CF9"/>
    <w:rsid w:val="007F466A"/>
    <w:rsid w:val="00801CA0"/>
    <w:rsid w:val="00802BC4"/>
    <w:rsid w:val="0081436E"/>
    <w:rsid w:val="008168F5"/>
    <w:rsid w:val="0082015E"/>
    <w:rsid w:val="00827BB7"/>
    <w:rsid w:val="00830C74"/>
    <w:rsid w:val="00835643"/>
    <w:rsid w:val="00836969"/>
    <w:rsid w:val="00836C04"/>
    <w:rsid w:val="0084022D"/>
    <w:rsid w:val="00842C4F"/>
    <w:rsid w:val="00850D1D"/>
    <w:rsid w:val="00863B4D"/>
    <w:rsid w:val="00865627"/>
    <w:rsid w:val="00871892"/>
    <w:rsid w:val="00871D67"/>
    <w:rsid w:val="008758DD"/>
    <w:rsid w:val="00880195"/>
    <w:rsid w:val="00895CCC"/>
    <w:rsid w:val="008A16A5"/>
    <w:rsid w:val="008A6E94"/>
    <w:rsid w:val="008B216D"/>
    <w:rsid w:val="008B7320"/>
    <w:rsid w:val="008C30E0"/>
    <w:rsid w:val="008C4A97"/>
    <w:rsid w:val="008C5DF5"/>
    <w:rsid w:val="008D14B2"/>
    <w:rsid w:val="008D3F65"/>
    <w:rsid w:val="008D42DE"/>
    <w:rsid w:val="008E10C5"/>
    <w:rsid w:val="008E1D59"/>
    <w:rsid w:val="008F761F"/>
    <w:rsid w:val="0090029D"/>
    <w:rsid w:val="0090238D"/>
    <w:rsid w:val="00903713"/>
    <w:rsid w:val="00922CB1"/>
    <w:rsid w:val="0092416F"/>
    <w:rsid w:val="00925763"/>
    <w:rsid w:val="00925E9F"/>
    <w:rsid w:val="0092662D"/>
    <w:rsid w:val="009270C5"/>
    <w:rsid w:val="009277F0"/>
    <w:rsid w:val="00930885"/>
    <w:rsid w:val="0093183C"/>
    <w:rsid w:val="009327AF"/>
    <w:rsid w:val="009360E2"/>
    <w:rsid w:val="009408D7"/>
    <w:rsid w:val="009430A1"/>
    <w:rsid w:val="009452AD"/>
    <w:rsid w:val="00946463"/>
    <w:rsid w:val="00946500"/>
    <w:rsid w:val="00947353"/>
    <w:rsid w:val="0095139C"/>
    <w:rsid w:val="009537A3"/>
    <w:rsid w:val="00963143"/>
    <w:rsid w:val="00963FAD"/>
    <w:rsid w:val="009672DE"/>
    <w:rsid w:val="00972D4B"/>
    <w:rsid w:val="00973129"/>
    <w:rsid w:val="0097622F"/>
    <w:rsid w:val="00987109"/>
    <w:rsid w:val="00990DA5"/>
    <w:rsid w:val="00994C0C"/>
    <w:rsid w:val="00996B62"/>
    <w:rsid w:val="00997586"/>
    <w:rsid w:val="00997831"/>
    <w:rsid w:val="00997938"/>
    <w:rsid w:val="00997E1A"/>
    <w:rsid w:val="009A2B6A"/>
    <w:rsid w:val="009A5D5C"/>
    <w:rsid w:val="009B110F"/>
    <w:rsid w:val="009B159B"/>
    <w:rsid w:val="009B263F"/>
    <w:rsid w:val="009B2D06"/>
    <w:rsid w:val="009B5196"/>
    <w:rsid w:val="009B67C6"/>
    <w:rsid w:val="009B7169"/>
    <w:rsid w:val="009B7CBD"/>
    <w:rsid w:val="009D46B4"/>
    <w:rsid w:val="009D7E3F"/>
    <w:rsid w:val="009E1BB0"/>
    <w:rsid w:val="009E52FF"/>
    <w:rsid w:val="009F081E"/>
    <w:rsid w:val="009F0BDC"/>
    <w:rsid w:val="009F7374"/>
    <w:rsid w:val="009F7E47"/>
    <w:rsid w:val="00A04383"/>
    <w:rsid w:val="00A06A47"/>
    <w:rsid w:val="00A10107"/>
    <w:rsid w:val="00A11EF9"/>
    <w:rsid w:val="00A13BF3"/>
    <w:rsid w:val="00A1782E"/>
    <w:rsid w:val="00A24588"/>
    <w:rsid w:val="00A30AC7"/>
    <w:rsid w:val="00A3586E"/>
    <w:rsid w:val="00A36C05"/>
    <w:rsid w:val="00A46B58"/>
    <w:rsid w:val="00A51F39"/>
    <w:rsid w:val="00A56E0F"/>
    <w:rsid w:val="00A610A0"/>
    <w:rsid w:val="00A62445"/>
    <w:rsid w:val="00A72730"/>
    <w:rsid w:val="00A72EAE"/>
    <w:rsid w:val="00A75711"/>
    <w:rsid w:val="00A90EAF"/>
    <w:rsid w:val="00A92381"/>
    <w:rsid w:val="00A95A8D"/>
    <w:rsid w:val="00AA17EA"/>
    <w:rsid w:val="00AA2594"/>
    <w:rsid w:val="00AA2FEF"/>
    <w:rsid w:val="00AB0E84"/>
    <w:rsid w:val="00AB1B86"/>
    <w:rsid w:val="00AB6593"/>
    <w:rsid w:val="00AC5D9A"/>
    <w:rsid w:val="00AD376C"/>
    <w:rsid w:val="00AD482A"/>
    <w:rsid w:val="00AD4B33"/>
    <w:rsid w:val="00AE1C35"/>
    <w:rsid w:val="00AE1C90"/>
    <w:rsid w:val="00AE2EAF"/>
    <w:rsid w:val="00AE3849"/>
    <w:rsid w:val="00AE40FB"/>
    <w:rsid w:val="00AE5360"/>
    <w:rsid w:val="00AE60B1"/>
    <w:rsid w:val="00AE786F"/>
    <w:rsid w:val="00AF0449"/>
    <w:rsid w:val="00B00BD7"/>
    <w:rsid w:val="00B00C73"/>
    <w:rsid w:val="00B143DB"/>
    <w:rsid w:val="00B21B8B"/>
    <w:rsid w:val="00B319AF"/>
    <w:rsid w:val="00B40AEB"/>
    <w:rsid w:val="00B44463"/>
    <w:rsid w:val="00B4637D"/>
    <w:rsid w:val="00B6004D"/>
    <w:rsid w:val="00B6098E"/>
    <w:rsid w:val="00B60D08"/>
    <w:rsid w:val="00B61B2E"/>
    <w:rsid w:val="00B66117"/>
    <w:rsid w:val="00B73444"/>
    <w:rsid w:val="00B80DED"/>
    <w:rsid w:val="00B81166"/>
    <w:rsid w:val="00B91B76"/>
    <w:rsid w:val="00BA0618"/>
    <w:rsid w:val="00BA22ED"/>
    <w:rsid w:val="00BA67BA"/>
    <w:rsid w:val="00BA71F3"/>
    <w:rsid w:val="00BA7E7C"/>
    <w:rsid w:val="00BB12E2"/>
    <w:rsid w:val="00BB23F5"/>
    <w:rsid w:val="00BB25B4"/>
    <w:rsid w:val="00BB31A5"/>
    <w:rsid w:val="00BB4FCE"/>
    <w:rsid w:val="00BC26CB"/>
    <w:rsid w:val="00BC30D6"/>
    <w:rsid w:val="00BC6FCF"/>
    <w:rsid w:val="00BD3674"/>
    <w:rsid w:val="00BD7DD3"/>
    <w:rsid w:val="00BE2987"/>
    <w:rsid w:val="00BE4A35"/>
    <w:rsid w:val="00BE50AF"/>
    <w:rsid w:val="00C06FBC"/>
    <w:rsid w:val="00C07220"/>
    <w:rsid w:val="00C12EF8"/>
    <w:rsid w:val="00C14CBC"/>
    <w:rsid w:val="00C14E5C"/>
    <w:rsid w:val="00C223D4"/>
    <w:rsid w:val="00C24192"/>
    <w:rsid w:val="00C25479"/>
    <w:rsid w:val="00C25B98"/>
    <w:rsid w:val="00C30A56"/>
    <w:rsid w:val="00C326EF"/>
    <w:rsid w:val="00C40BF3"/>
    <w:rsid w:val="00C42C47"/>
    <w:rsid w:val="00C42D0A"/>
    <w:rsid w:val="00C52262"/>
    <w:rsid w:val="00C52A5B"/>
    <w:rsid w:val="00C53242"/>
    <w:rsid w:val="00C55E30"/>
    <w:rsid w:val="00C6484E"/>
    <w:rsid w:val="00C64AC8"/>
    <w:rsid w:val="00C6578F"/>
    <w:rsid w:val="00C70A32"/>
    <w:rsid w:val="00C7281B"/>
    <w:rsid w:val="00C800C0"/>
    <w:rsid w:val="00C80AEB"/>
    <w:rsid w:val="00C839AD"/>
    <w:rsid w:val="00C87A6B"/>
    <w:rsid w:val="00C94493"/>
    <w:rsid w:val="00C970FB"/>
    <w:rsid w:val="00C97F96"/>
    <w:rsid w:val="00CA53DF"/>
    <w:rsid w:val="00CB1DCE"/>
    <w:rsid w:val="00CC07BA"/>
    <w:rsid w:val="00CC306A"/>
    <w:rsid w:val="00CC3CDC"/>
    <w:rsid w:val="00CC7ADF"/>
    <w:rsid w:val="00CD20E2"/>
    <w:rsid w:val="00CD402F"/>
    <w:rsid w:val="00CD6128"/>
    <w:rsid w:val="00CE2347"/>
    <w:rsid w:val="00CE641D"/>
    <w:rsid w:val="00CF2D2E"/>
    <w:rsid w:val="00CF35C3"/>
    <w:rsid w:val="00CF4493"/>
    <w:rsid w:val="00CF467E"/>
    <w:rsid w:val="00CF4980"/>
    <w:rsid w:val="00D02028"/>
    <w:rsid w:val="00D0225B"/>
    <w:rsid w:val="00D107C0"/>
    <w:rsid w:val="00D1771B"/>
    <w:rsid w:val="00D244D0"/>
    <w:rsid w:val="00D27C5B"/>
    <w:rsid w:val="00D307F7"/>
    <w:rsid w:val="00D60D64"/>
    <w:rsid w:val="00D6222A"/>
    <w:rsid w:val="00D6558A"/>
    <w:rsid w:val="00D72743"/>
    <w:rsid w:val="00D85ACD"/>
    <w:rsid w:val="00D90681"/>
    <w:rsid w:val="00D90E24"/>
    <w:rsid w:val="00D92438"/>
    <w:rsid w:val="00D94B85"/>
    <w:rsid w:val="00D95F4C"/>
    <w:rsid w:val="00D9688D"/>
    <w:rsid w:val="00DA2CFB"/>
    <w:rsid w:val="00DA32B6"/>
    <w:rsid w:val="00DA6D17"/>
    <w:rsid w:val="00DB1AB4"/>
    <w:rsid w:val="00DB2A30"/>
    <w:rsid w:val="00DB3C75"/>
    <w:rsid w:val="00DB64F5"/>
    <w:rsid w:val="00DC3129"/>
    <w:rsid w:val="00DC6B43"/>
    <w:rsid w:val="00DD2CA7"/>
    <w:rsid w:val="00DD5333"/>
    <w:rsid w:val="00DE48C1"/>
    <w:rsid w:val="00DE5C68"/>
    <w:rsid w:val="00DE5E54"/>
    <w:rsid w:val="00DF0144"/>
    <w:rsid w:val="00DF34C9"/>
    <w:rsid w:val="00DF7039"/>
    <w:rsid w:val="00DF7D4B"/>
    <w:rsid w:val="00E019DA"/>
    <w:rsid w:val="00E061D4"/>
    <w:rsid w:val="00E10FA5"/>
    <w:rsid w:val="00E13FB5"/>
    <w:rsid w:val="00E214CB"/>
    <w:rsid w:val="00E31D0E"/>
    <w:rsid w:val="00E3256E"/>
    <w:rsid w:val="00E35F10"/>
    <w:rsid w:val="00E46E87"/>
    <w:rsid w:val="00E61554"/>
    <w:rsid w:val="00E62C06"/>
    <w:rsid w:val="00E63A4B"/>
    <w:rsid w:val="00E648F7"/>
    <w:rsid w:val="00E70BA6"/>
    <w:rsid w:val="00E714FB"/>
    <w:rsid w:val="00E7305B"/>
    <w:rsid w:val="00E730A2"/>
    <w:rsid w:val="00E75980"/>
    <w:rsid w:val="00E761EC"/>
    <w:rsid w:val="00E7715F"/>
    <w:rsid w:val="00E840B1"/>
    <w:rsid w:val="00E909BD"/>
    <w:rsid w:val="00EA0D68"/>
    <w:rsid w:val="00EA0D9B"/>
    <w:rsid w:val="00EA162C"/>
    <w:rsid w:val="00EA52EF"/>
    <w:rsid w:val="00EA7F34"/>
    <w:rsid w:val="00EB08A4"/>
    <w:rsid w:val="00EB2B75"/>
    <w:rsid w:val="00EB322E"/>
    <w:rsid w:val="00EB469E"/>
    <w:rsid w:val="00EB752E"/>
    <w:rsid w:val="00EC0526"/>
    <w:rsid w:val="00EC56BD"/>
    <w:rsid w:val="00ED080B"/>
    <w:rsid w:val="00EE3B78"/>
    <w:rsid w:val="00EE67BE"/>
    <w:rsid w:val="00EE7F98"/>
    <w:rsid w:val="00EF25C0"/>
    <w:rsid w:val="00EF66D7"/>
    <w:rsid w:val="00F03C31"/>
    <w:rsid w:val="00F05ACA"/>
    <w:rsid w:val="00F07616"/>
    <w:rsid w:val="00F13B16"/>
    <w:rsid w:val="00F15811"/>
    <w:rsid w:val="00F16EBC"/>
    <w:rsid w:val="00F17160"/>
    <w:rsid w:val="00F216B1"/>
    <w:rsid w:val="00F24465"/>
    <w:rsid w:val="00F3057A"/>
    <w:rsid w:val="00F3473A"/>
    <w:rsid w:val="00F37538"/>
    <w:rsid w:val="00F41F15"/>
    <w:rsid w:val="00F51CD9"/>
    <w:rsid w:val="00F52653"/>
    <w:rsid w:val="00F54434"/>
    <w:rsid w:val="00F5620E"/>
    <w:rsid w:val="00F57253"/>
    <w:rsid w:val="00F61928"/>
    <w:rsid w:val="00F62C09"/>
    <w:rsid w:val="00F6754A"/>
    <w:rsid w:val="00F7731E"/>
    <w:rsid w:val="00F77431"/>
    <w:rsid w:val="00F85573"/>
    <w:rsid w:val="00F92965"/>
    <w:rsid w:val="00F943F2"/>
    <w:rsid w:val="00F9488E"/>
    <w:rsid w:val="00F952B5"/>
    <w:rsid w:val="00F96657"/>
    <w:rsid w:val="00F96AB5"/>
    <w:rsid w:val="00FA10B4"/>
    <w:rsid w:val="00FA472E"/>
    <w:rsid w:val="00FA574B"/>
    <w:rsid w:val="00FA5BC7"/>
    <w:rsid w:val="00FB05A3"/>
    <w:rsid w:val="00FB3864"/>
    <w:rsid w:val="00FC2BA1"/>
    <w:rsid w:val="00FC4997"/>
    <w:rsid w:val="00FC71AB"/>
    <w:rsid w:val="00FD00F4"/>
    <w:rsid w:val="00FD32DC"/>
    <w:rsid w:val="00FE0A74"/>
    <w:rsid w:val="00FF449C"/>
    <w:rsid w:val="00FF55BC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60C4-4349-4D72-8D54-FD3B31AA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13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116</cp:revision>
  <cp:lastPrinted>2017-06-26T13:13:00Z</cp:lastPrinted>
  <dcterms:created xsi:type="dcterms:W3CDTF">2017-06-27T07:37:00Z</dcterms:created>
  <dcterms:modified xsi:type="dcterms:W3CDTF">2017-10-20T07:21:00Z</dcterms:modified>
</cp:coreProperties>
</file>